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700" w:lineRule="exact"/>
        <w:jc w:val="both"/>
        <w:rPr>
          <w:rFonts w:ascii="黑体" w:hAnsi="黑体" w:eastAsia="黑体" w:cs="黑体"/>
          <w:b/>
          <w:color w:val="000000"/>
          <w:kern w:val="0"/>
          <w:sz w:val="36"/>
          <w:szCs w:val="36"/>
        </w:rPr>
      </w:pPr>
    </w:p>
    <w:p>
      <w:pPr>
        <w:widowControl/>
        <w:spacing w:line="700" w:lineRule="exact"/>
        <w:rPr>
          <w:rFonts w:ascii="黑体" w:hAnsi="黑体" w:eastAsia="黑体" w:cs="黑体"/>
          <w:b/>
          <w:color w:val="000000"/>
          <w:kern w:val="0"/>
          <w:sz w:val="36"/>
          <w:szCs w:val="36"/>
        </w:rPr>
      </w:pPr>
    </w:p>
    <w:p>
      <w:pPr>
        <w:widowControl/>
        <w:spacing w:line="700" w:lineRule="exact"/>
        <w:jc w:val="center"/>
        <w:rPr>
          <w:rFonts w:ascii="黑体" w:hAnsi="黑体" w:eastAsia="黑体" w:cs="黑体"/>
          <w:b/>
          <w:color w:val="000000"/>
          <w:kern w:val="0"/>
          <w:sz w:val="48"/>
          <w:szCs w:val="48"/>
        </w:rPr>
      </w:pPr>
      <w:r>
        <w:rPr>
          <w:rFonts w:hint="eastAsia" w:ascii="黑体" w:hAnsi="黑体" w:eastAsia="黑体" w:cs="黑体"/>
          <w:b/>
          <w:color w:val="000000"/>
          <w:kern w:val="0"/>
          <w:sz w:val="48"/>
          <w:szCs w:val="48"/>
        </w:rPr>
        <w:t>南京交通职业技术学院</w:t>
      </w:r>
    </w:p>
    <w:p>
      <w:pPr>
        <w:widowControl/>
        <w:spacing w:line="700" w:lineRule="exact"/>
        <w:jc w:val="center"/>
        <w:rPr>
          <w:rFonts w:ascii="黑体" w:hAnsi="黑体" w:eastAsia="黑体" w:cs="黑体"/>
          <w:b/>
          <w:color w:val="000000"/>
          <w:kern w:val="0"/>
          <w:sz w:val="48"/>
          <w:szCs w:val="48"/>
        </w:rPr>
      </w:pPr>
    </w:p>
    <w:p>
      <w:pPr>
        <w:pStyle w:val="2"/>
      </w:pPr>
    </w:p>
    <w:p>
      <w:pPr>
        <w:widowControl/>
        <w:spacing w:line="700" w:lineRule="exact"/>
        <w:jc w:val="both"/>
        <w:rPr>
          <w:rFonts w:ascii="黑体" w:hAnsi="黑体" w:eastAsia="黑体" w:cs="黑体"/>
          <w:b/>
          <w:color w:val="000000"/>
          <w:kern w:val="0"/>
          <w:sz w:val="44"/>
          <w:szCs w:val="44"/>
        </w:rPr>
      </w:pPr>
      <w:r>
        <w:rPr>
          <w:rFonts w:hint="eastAsia" w:ascii="黑体" w:hAnsi="黑体" w:eastAsia="黑体" w:cs="黑体"/>
          <w:b/>
          <w:color w:val="000000"/>
          <w:kern w:val="0"/>
          <w:sz w:val="44"/>
          <w:szCs w:val="44"/>
        </w:rPr>
        <w:t>汽车</w:t>
      </w:r>
      <w:r>
        <w:rPr>
          <w:rFonts w:hint="eastAsia" w:ascii="黑体" w:hAnsi="黑体" w:eastAsia="黑体" w:cs="黑体"/>
          <w:b/>
          <w:color w:val="000000"/>
          <w:kern w:val="0"/>
          <w:sz w:val="44"/>
          <w:szCs w:val="44"/>
          <w:lang w:val="en-US" w:eastAsia="zh-CN"/>
        </w:rPr>
        <w:t>技术服务与营销</w:t>
      </w:r>
      <w:r>
        <w:rPr>
          <w:rFonts w:hint="eastAsia" w:ascii="黑体" w:hAnsi="黑体" w:eastAsia="黑体" w:cs="黑体"/>
          <w:b/>
          <w:color w:val="000000"/>
          <w:kern w:val="0"/>
          <w:sz w:val="44"/>
          <w:szCs w:val="44"/>
        </w:rPr>
        <w:t>专业人才培养方案制定</w:t>
      </w:r>
    </w:p>
    <w:p>
      <w:pPr>
        <w:widowControl/>
        <w:spacing w:line="700" w:lineRule="exact"/>
        <w:jc w:val="center"/>
        <w:rPr>
          <w:rFonts w:ascii="黑体" w:hAnsi="黑体" w:eastAsia="黑体" w:cs="黑体"/>
          <w:b/>
          <w:color w:val="000000"/>
          <w:kern w:val="0"/>
          <w:sz w:val="48"/>
          <w:szCs w:val="48"/>
        </w:rPr>
      </w:pPr>
    </w:p>
    <w:p>
      <w:pPr>
        <w:pStyle w:val="2"/>
        <w:rPr>
          <w:rFonts w:ascii="黑体" w:hAnsi="黑体" w:eastAsia="黑体" w:cs="黑体"/>
          <w:b/>
          <w:color w:val="000000"/>
          <w:kern w:val="0"/>
          <w:sz w:val="48"/>
          <w:szCs w:val="48"/>
        </w:rPr>
      </w:pPr>
    </w:p>
    <w:p>
      <w:pPr>
        <w:pStyle w:val="2"/>
        <w:rPr>
          <w:rFonts w:ascii="黑体" w:hAnsi="黑体" w:eastAsia="黑体" w:cs="黑体"/>
          <w:b/>
          <w:color w:val="000000"/>
          <w:kern w:val="0"/>
          <w:sz w:val="48"/>
          <w:szCs w:val="48"/>
        </w:rPr>
      </w:pPr>
    </w:p>
    <w:p>
      <w:pPr>
        <w:pStyle w:val="2"/>
        <w:rPr>
          <w:rFonts w:ascii="黑体" w:hAnsi="黑体" w:eastAsia="黑体" w:cs="黑体"/>
          <w:b/>
          <w:color w:val="000000"/>
          <w:kern w:val="0"/>
          <w:sz w:val="48"/>
          <w:szCs w:val="48"/>
        </w:rPr>
      </w:pPr>
    </w:p>
    <w:p>
      <w:pPr>
        <w:widowControl/>
        <w:spacing w:line="700" w:lineRule="exact"/>
        <w:jc w:val="center"/>
        <w:rPr>
          <w:rFonts w:ascii="黑体" w:hAnsi="黑体" w:eastAsia="黑体" w:cs="Times New Roman"/>
          <w:b/>
          <w:color w:val="000000"/>
          <w:kern w:val="0"/>
          <w:sz w:val="36"/>
          <w:szCs w:val="36"/>
        </w:rPr>
      </w:pPr>
      <w:r>
        <w:rPr>
          <w:rFonts w:hint="eastAsia" w:ascii="黑体" w:hAnsi="黑体" w:eastAsia="黑体" w:cs="黑体"/>
          <w:b/>
          <w:color w:val="000000"/>
          <w:kern w:val="0"/>
          <w:sz w:val="48"/>
          <w:szCs w:val="48"/>
        </w:rPr>
        <w:t>调研报告</w:t>
      </w:r>
    </w:p>
    <w:p>
      <w:pPr>
        <w:spacing w:line="560" w:lineRule="exact"/>
        <w:rPr>
          <w:rFonts w:ascii="华文仿宋" w:hAnsi="华文仿宋" w:eastAsia="华文仿宋" w:cs="Times New Roman"/>
          <w:b/>
          <w:color w:val="000000"/>
          <w:kern w:val="0"/>
          <w:sz w:val="28"/>
          <w:szCs w:val="28"/>
        </w:rPr>
      </w:pPr>
    </w:p>
    <w:p>
      <w:pPr>
        <w:spacing w:line="560" w:lineRule="exact"/>
        <w:rPr>
          <w:rFonts w:ascii="华文仿宋" w:hAnsi="华文仿宋" w:eastAsia="华文仿宋" w:cs="Times New Roman"/>
          <w:b/>
          <w:color w:val="000000"/>
          <w:kern w:val="0"/>
          <w:sz w:val="28"/>
          <w:szCs w:val="28"/>
        </w:rPr>
      </w:pPr>
    </w:p>
    <w:p>
      <w:pPr>
        <w:spacing w:line="560" w:lineRule="exact"/>
        <w:rPr>
          <w:rFonts w:ascii="华文仿宋" w:hAnsi="华文仿宋" w:eastAsia="华文仿宋" w:cs="Times New Roman"/>
          <w:b/>
          <w:color w:val="000000"/>
          <w:kern w:val="0"/>
          <w:sz w:val="28"/>
          <w:szCs w:val="28"/>
        </w:rPr>
      </w:pPr>
    </w:p>
    <w:p>
      <w:pPr>
        <w:spacing w:line="560" w:lineRule="exact"/>
        <w:rPr>
          <w:rFonts w:ascii="华文仿宋" w:hAnsi="华文仿宋" w:eastAsia="华文仿宋" w:cs="Times New Roman"/>
          <w:b/>
          <w:color w:val="000000"/>
          <w:kern w:val="0"/>
          <w:sz w:val="28"/>
          <w:szCs w:val="28"/>
        </w:rPr>
      </w:pPr>
    </w:p>
    <w:p>
      <w:pPr>
        <w:spacing w:line="560" w:lineRule="exact"/>
        <w:rPr>
          <w:rFonts w:ascii="华文仿宋" w:hAnsi="华文仿宋" w:eastAsia="华文仿宋" w:cs="Times New Roman"/>
          <w:b/>
          <w:color w:val="000000"/>
          <w:kern w:val="0"/>
          <w:sz w:val="28"/>
          <w:szCs w:val="28"/>
        </w:rPr>
      </w:pPr>
    </w:p>
    <w:p>
      <w:pPr>
        <w:spacing w:line="560" w:lineRule="exact"/>
        <w:rPr>
          <w:rFonts w:ascii="华文仿宋" w:hAnsi="华文仿宋" w:eastAsia="华文仿宋" w:cs="Times New Roman"/>
          <w:b/>
          <w:color w:val="000000"/>
          <w:kern w:val="0"/>
          <w:sz w:val="28"/>
          <w:szCs w:val="28"/>
        </w:rPr>
      </w:pPr>
    </w:p>
    <w:p>
      <w:pPr>
        <w:spacing w:line="560" w:lineRule="exact"/>
        <w:rPr>
          <w:rFonts w:ascii="华文仿宋" w:hAnsi="华文仿宋" w:eastAsia="华文仿宋" w:cs="Times New Roman"/>
          <w:b/>
          <w:color w:val="000000"/>
          <w:kern w:val="0"/>
          <w:sz w:val="28"/>
          <w:szCs w:val="28"/>
        </w:rPr>
      </w:pPr>
    </w:p>
    <w:p>
      <w:pPr>
        <w:spacing w:line="560" w:lineRule="exact"/>
        <w:rPr>
          <w:rFonts w:ascii="华文仿宋" w:hAnsi="华文仿宋" w:eastAsia="华文仿宋" w:cs="Times New Roman"/>
          <w:b/>
          <w:color w:val="000000"/>
          <w:kern w:val="0"/>
          <w:sz w:val="28"/>
          <w:szCs w:val="28"/>
        </w:rPr>
      </w:pPr>
    </w:p>
    <w:p>
      <w:pPr>
        <w:spacing w:line="560" w:lineRule="exact"/>
        <w:jc w:val="center"/>
        <w:rPr>
          <w:rFonts w:ascii="黑体" w:hAnsi="黑体" w:eastAsia="黑体" w:cs="黑体"/>
          <w:bCs/>
          <w:color w:val="000000"/>
          <w:kern w:val="0"/>
          <w:sz w:val="30"/>
          <w:szCs w:val="30"/>
        </w:rPr>
      </w:pPr>
      <w:r>
        <w:rPr>
          <w:rFonts w:hint="eastAsia" w:ascii="黑体" w:hAnsi="黑体" w:eastAsia="黑体" w:cs="黑体"/>
          <w:bCs/>
          <w:color w:val="000000"/>
          <w:kern w:val="0"/>
          <w:sz w:val="30"/>
          <w:szCs w:val="30"/>
        </w:rPr>
        <w:t>南京交通职业技术学院汽车工程学院</w:t>
      </w:r>
    </w:p>
    <w:p>
      <w:pPr>
        <w:spacing w:line="560" w:lineRule="exact"/>
        <w:jc w:val="center"/>
        <w:rPr>
          <w:rFonts w:ascii="华文仿宋" w:hAnsi="华文仿宋" w:eastAsia="华文仿宋" w:cs="Times New Roman"/>
          <w:b/>
          <w:color w:val="000000"/>
          <w:kern w:val="0"/>
          <w:sz w:val="28"/>
          <w:szCs w:val="28"/>
        </w:rPr>
      </w:pPr>
      <w:r>
        <w:rPr>
          <w:rFonts w:hint="eastAsia" w:ascii="宋体" w:hAnsi="宋体" w:eastAsia="宋体" w:cs="宋体"/>
          <w:bCs/>
          <w:color w:val="000000"/>
          <w:kern w:val="0"/>
          <w:sz w:val="30"/>
          <w:szCs w:val="30"/>
        </w:rPr>
        <w:t>202</w:t>
      </w:r>
      <w:r>
        <w:rPr>
          <w:rFonts w:hint="eastAsia" w:ascii="宋体" w:hAnsi="宋体" w:eastAsia="宋体" w:cs="宋体"/>
          <w:bCs/>
          <w:color w:val="000000"/>
          <w:kern w:val="0"/>
          <w:sz w:val="30"/>
          <w:szCs w:val="30"/>
          <w:lang w:val="en-US" w:eastAsia="zh-CN"/>
        </w:rPr>
        <w:t>3</w:t>
      </w:r>
      <w:r>
        <w:rPr>
          <w:rFonts w:hint="eastAsia" w:ascii="宋体" w:hAnsi="宋体" w:eastAsia="宋体" w:cs="宋体"/>
          <w:bCs/>
          <w:color w:val="000000"/>
          <w:kern w:val="0"/>
          <w:sz w:val="30"/>
          <w:szCs w:val="30"/>
        </w:rPr>
        <w:t>年</w:t>
      </w:r>
      <w:r>
        <w:rPr>
          <w:rFonts w:ascii="宋体" w:hAnsi="宋体" w:eastAsia="宋体" w:cs="宋体"/>
          <w:bCs/>
          <w:color w:val="000000"/>
          <w:kern w:val="0"/>
          <w:sz w:val="30"/>
          <w:szCs w:val="30"/>
        </w:rPr>
        <w:t>6</w:t>
      </w:r>
      <w:r>
        <w:rPr>
          <w:rFonts w:hint="eastAsia" w:ascii="宋体" w:hAnsi="宋体" w:eastAsia="宋体" w:cs="宋体"/>
          <w:bCs/>
          <w:color w:val="000000"/>
          <w:kern w:val="0"/>
          <w:sz w:val="30"/>
          <w:szCs w:val="30"/>
        </w:rPr>
        <w:t>月</w:t>
      </w:r>
    </w:p>
    <w:p>
      <w:pPr>
        <w:spacing w:line="560" w:lineRule="exact"/>
        <w:rPr>
          <w:rFonts w:ascii="华文仿宋" w:hAnsi="华文仿宋" w:eastAsia="华文仿宋" w:cs="Times New Roman"/>
          <w:b/>
          <w:color w:val="000000"/>
          <w:kern w:val="0"/>
          <w:sz w:val="28"/>
          <w:szCs w:val="28"/>
        </w:rPr>
      </w:pPr>
    </w:p>
    <w:p>
      <w:pPr>
        <w:spacing w:line="560" w:lineRule="exact"/>
        <w:rPr>
          <w:rFonts w:ascii="华文仿宋" w:hAnsi="华文仿宋" w:eastAsia="华文仿宋" w:cs="Times New Roman"/>
          <w:b/>
          <w:color w:val="000000"/>
          <w:kern w:val="0"/>
          <w:sz w:val="28"/>
          <w:szCs w:val="28"/>
        </w:rPr>
      </w:pPr>
    </w:p>
    <w:p>
      <w:pPr>
        <w:spacing w:line="560" w:lineRule="exact"/>
        <w:rPr>
          <w:rFonts w:ascii="黑体" w:hAnsi="黑体" w:eastAsia="黑体" w:cs="黑体"/>
          <w:bCs/>
          <w:color w:val="000000"/>
          <w:kern w:val="0"/>
          <w:sz w:val="32"/>
          <w:szCs w:val="32"/>
        </w:rPr>
      </w:pPr>
    </w:p>
    <w:p>
      <w:pPr>
        <w:pStyle w:val="4"/>
        <w:jc w:val="center"/>
        <w:rPr>
          <w:rFonts w:ascii="黑体" w:hAnsi="黑体" w:eastAsia="黑体" w:cs="Times New Roman"/>
          <w:b w:val="0"/>
          <w:sz w:val="36"/>
          <w:szCs w:val="36"/>
        </w:rPr>
      </w:pPr>
      <w:bookmarkStart w:id="0" w:name="_Toc131002788"/>
      <w:r>
        <w:rPr>
          <w:rFonts w:hint="eastAsia" w:ascii="黑体" w:hAnsi="黑体" w:eastAsia="黑体"/>
          <w:b w:val="0"/>
          <w:sz w:val="36"/>
          <w:szCs w:val="36"/>
        </w:rPr>
        <w:t>前    言</w:t>
      </w:r>
      <w:bookmarkEnd w:id="0"/>
    </w:p>
    <w:p>
      <w:pPr>
        <w:spacing w:line="400" w:lineRule="exact"/>
        <w:ind w:firstLine="420" w:firstLineChars="200"/>
      </w:pPr>
    </w:p>
    <w:p>
      <w:pPr>
        <w:spacing w:line="400" w:lineRule="exact"/>
        <w:ind w:firstLine="480" w:firstLineChars="200"/>
        <w:rPr>
          <w:sz w:val="24"/>
          <w:szCs w:val="24"/>
        </w:rPr>
      </w:pPr>
      <w:r>
        <w:rPr>
          <w:rFonts w:hint="eastAsia"/>
          <w:sz w:val="24"/>
          <w:szCs w:val="24"/>
        </w:rPr>
        <w:t>为了更好</w:t>
      </w:r>
      <w:r>
        <w:rPr>
          <w:rFonts w:hint="eastAsia" w:asciiTheme="minorEastAsia" w:hAnsiTheme="minorEastAsia"/>
          <w:sz w:val="24"/>
          <w:szCs w:val="24"/>
        </w:rPr>
        <w:t>地把握汽车行业市场人才需求，掌握企业对本专业毕业生知识、能力和素质等方面的培养要求，从而使全省汽车</w:t>
      </w:r>
      <w:r>
        <w:rPr>
          <w:rFonts w:hint="eastAsia" w:asciiTheme="minorEastAsia" w:hAnsiTheme="minorEastAsia"/>
          <w:sz w:val="24"/>
          <w:szCs w:val="24"/>
          <w:lang w:val="en-US" w:eastAsia="zh-CN"/>
        </w:rPr>
        <w:t>技术服务与营销</w:t>
      </w:r>
      <w:r>
        <w:rPr>
          <w:rFonts w:hint="eastAsia" w:asciiTheme="minorEastAsia" w:hAnsiTheme="minorEastAsia"/>
          <w:sz w:val="24"/>
          <w:szCs w:val="24"/>
        </w:rPr>
        <w:t>专业更加准确定位以及更好地服务于企业，更加科学合理的制定汽车</w:t>
      </w:r>
      <w:r>
        <w:rPr>
          <w:rFonts w:hint="eastAsia" w:asciiTheme="minorEastAsia" w:hAnsiTheme="minorEastAsia"/>
          <w:sz w:val="24"/>
          <w:szCs w:val="24"/>
          <w:lang w:val="en-US" w:eastAsia="zh-CN"/>
        </w:rPr>
        <w:t>技术服务与营销</w:t>
      </w:r>
      <w:r>
        <w:rPr>
          <w:rFonts w:hint="eastAsia"/>
          <w:sz w:val="24"/>
          <w:szCs w:val="24"/>
        </w:rPr>
        <w:t>专业的人才培养方案，定于202</w:t>
      </w:r>
      <w:r>
        <w:rPr>
          <w:rFonts w:hint="eastAsia"/>
          <w:sz w:val="24"/>
          <w:szCs w:val="24"/>
          <w:lang w:val="en-US" w:eastAsia="zh-CN"/>
        </w:rPr>
        <w:t>2</w:t>
      </w:r>
      <w:r>
        <w:rPr>
          <w:rFonts w:hint="eastAsia"/>
          <w:sz w:val="24"/>
          <w:szCs w:val="24"/>
        </w:rPr>
        <w:t>年</w:t>
      </w:r>
      <w:r>
        <w:rPr>
          <w:sz w:val="24"/>
          <w:szCs w:val="24"/>
        </w:rPr>
        <w:t>9</w:t>
      </w:r>
      <w:r>
        <w:rPr>
          <w:rFonts w:hint="eastAsia"/>
          <w:sz w:val="24"/>
          <w:szCs w:val="24"/>
        </w:rPr>
        <w:t>月到2</w:t>
      </w:r>
      <w:r>
        <w:rPr>
          <w:sz w:val="24"/>
          <w:szCs w:val="24"/>
        </w:rPr>
        <w:t>02</w:t>
      </w:r>
      <w:r>
        <w:rPr>
          <w:rFonts w:hint="eastAsia"/>
          <w:sz w:val="24"/>
          <w:szCs w:val="24"/>
          <w:lang w:val="en-US" w:eastAsia="zh-CN"/>
        </w:rPr>
        <w:t>2</w:t>
      </w:r>
      <w:r>
        <w:rPr>
          <w:rFonts w:hint="eastAsia"/>
          <w:sz w:val="24"/>
          <w:szCs w:val="24"/>
        </w:rPr>
        <w:t>年1</w:t>
      </w:r>
      <w:r>
        <w:rPr>
          <w:sz w:val="24"/>
          <w:szCs w:val="24"/>
        </w:rPr>
        <w:t>2</w:t>
      </w:r>
      <w:r>
        <w:rPr>
          <w:rFonts w:hint="eastAsia"/>
          <w:sz w:val="24"/>
          <w:szCs w:val="24"/>
        </w:rPr>
        <w:t>月，对全省</w:t>
      </w:r>
      <w:r>
        <w:rPr>
          <w:rFonts w:hint="eastAsia" w:asciiTheme="minorEastAsia" w:hAnsiTheme="minorEastAsia"/>
          <w:sz w:val="24"/>
          <w:szCs w:val="24"/>
        </w:rPr>
        <w:t>汽车</w:t>
      </w:r>
      <w:r>
        <w:rPr>
          <w:rFonts w:hint="eastAsia" w:asciiTheme="minorEastAsia" w:hAnsiTheme="minorEastAsia"/>
          <w:sz w:val="24"/>
          <w:szCs w:val="24"/>
          <w:lang w:val="en-US" w:eastAsia="zh-CN"/>
        </w:rPr>
        <w:t>技术服务与营销</w:t>
      </w:r>
      <w:r>
        <w:rPr>
          <w:rFonts w:hint="eastAsia" w:asciiTheme="minorEastAsia" w:hAnsiTheme="minorEastAsia"/>
          <w:sz w:val="24"/>
          <w:szCs w:val="24"/>
        </w:rPr>
        <w:t>专业</w:t>
      </w:r>
      <w:r>
        <w:rPr>
          <w:rFonts w:hint="eastAsia" w:asciiTheme="minorEastAsia" w:hAnsiTheme="minorEastAsia"/>
          <w:sz w:val="24"/>
          <w:szCs w:val="24"/>
          <w:lang w:val="en-US" w:eastAsia="zh-CN"/>
        </w:rPr>
        <w:t>相关院校和企业</w:t>
      </w:r>
      <w:r>
        <w:rPr>
          <w:rFonts w:hint="eastAsia"/>
          <w:sz w:val="24"/>
          <w:szCs w:val="24"/>
        </w:rPr>
        <w:t>进行了调研，地区包括苏南、苏中和苏北，具有一定的普遍性。组织多名调研人员到全省的较大的汽车</w:t>
      </w:r>
      <w:r>
        <w:rPr>
          <w:rFonts w:hint="eastAsia"/>
          <w:sz w:val="24"/>
          <w:szCs w:val="24"/>
          <w:lang w:val="en-US" w:eastAsia="zh-CN"/>
        </w:rPr>
        <w:t>服务</w:t>
      </w:r>
      <w:r>
        <w:rPr>
          <w:rFonts w:hint="eastAsia"/>
          <w:sz w:val="24"/>
          <w:szCs w:val="24"/>
        </w:rPr>
        <w:t>企业等用人单位、该专业开办学校、行业及行业主管部门就有关</w:t>
      </w:r>
      <w:r>
        <w:rPr>
          <w:rFonts w:hint="eastAsia"/>
          <w:sz w:val="24"/>
          <w:szCs w:val="24"/>
          <w:lang w:val="en-US" w:eastAsia="zh-CN"/>
        </w:rPr>
        <w:t>汽车</w:t>
      </w:r>
      <w:r>
        <w:rPr>
          <w:rFonts w:hint="eastAsia"/>
          <w:sz w:val="24"/>
          <w:szCs w:val="24"/>
        </w:rPr>
        <w:t>技术</w:t>
      </w:r>
      <w:r>
        <w:rPr>
          <w:rFonts w:hint="eastAsia"/>
          <w:sz w:val="24"/>
          <w:szCs w:val="24"/>
          <w:lang w:val="en-US" w:eastAsia="zh-CN"/>
        </w:rPr>
        <w:t>营销和服务</w:t>
      </w:r>
      <w:r>
        <w:rPr>
          <w:rFonts w:hint="eastAsia"/>
          <w:sz w:val="24"/>
          <w:szCs w:val="24"/>
        </w:rPr>
        <w:t>人才需求情况、行业发展状况、人才培养模式、课程体系改革等进行专业调研，并通过对调查结果进行统计分析，形成了此报告。</w:t>
      </w:r>
    </w:p>
    <w:p>
      <w:pPr>
        <w:pStyle w:val="4"/>
        <w:rPr>
          <w:rFonts w:hint="eastAsia" w:ascii="黑体" w:hAnsi="黑体" w:eastAsia="黑体" w:cs="黑体"/>
          <w:b w:val="0"/>
          <w:color w:val="000000"/>
          <w:kern w:val="0"/>
          <w:sz w:val="36"/>
          <w:szCs w:val="36"/>
        </w:rPr>
      </w:pPr>
      <w:bookmarkStart w:id="1" w:name="_Toc131002789"/>
      <w:r>
        <w:rPr>
          <w:rFonts w:hint="eastAsia" w:ascii="黑体" w:hAnsi="黑体" w:eastAsia="黑体" w:cs="黑体"/>
          <w:b w:val="0"/>
          <w:color w:val="000000"/>
          <w:kern w:val="0"/>
          <w:sz w:val="36"/>
          <w:szCs w:val="36"/>
        </w:rPr>
        <w:t>一、</w:t>
      </w:r>
      <w:bookmarkStart w:id="2" w:name="_Hlk127093127"/>
      <w:r>
        <w:rPr>
          <w:rFonts w:hint="eastAsia" w:ascii="黑体" w:hAnsi="黑体" w:eastAsia="黑体" w:cs="黑体"/>
          <w:b w:val="0"/>
          <w:color w:val="000000"/>
          <w:kern w:val="0"/>
          <w:sz w:val="36"/>
          <w:szCs w:val="36"/>
          <w:lang w:val="zh-CN"/>
        </w:rPr>
        <w:t>汽车</w:t>
      </w:r>
      <w:r>
        <w:rPr>
          <w:rFonts w:hint="eastAsia" w:ascii="黑体" w:hAnsi="黑体" w:eastAsia="黑体" w:cs="黑体"/>
          <w:b w:val="0"/>
          <w:color w:val="000000"/>
          <w:kern w:val="0"/>
          <w:sz w:val="36"/>
          <w:szCs w:val="36"/>
          <w:lang w:val="en-US" w:eastAsia="zh-CN"/>
        </w:rPr>
        <w:t>技术服务与营销</w:t>
      </w:r>
      <w:r>
        <w:rPr>
          <w:rFonts w:hint="eastAsia" w:ascii="黑体" w:hAnsi="黑体" w:eastAsia="黑体" w:cs="黑体"/>
          <w:b w:val="0"/>
          <w:color w:val="000000"/>
          <w:kern w:val="0"/>
          <w:sz w:val="36"/>
          <w:szCs w:val="36"/>
        </w:rPr>
        <w:t>专业</w:t>
      </w:r>
      <w:bookmarkEnd w:id="2"/>
      <w:r>
        <w:rPr>
          <w:rFonts w:hint="eastAsia" w:ascii="黑体" w:hAnsi="黑体" w:eastAsia="黑体" w:cs="黑体"/>
          <w:b w:val="0"/>
          <w:color w:val="000000"/>
          <w:kern w:val="0"/>
          <w:sz w:val="36"/>
          <w:szCs w:val="36"/>
        </w:rPr>
        <w:t>调研概况</w:t>
      </w:r>
      <w:bookmarkEnd w:id="1"/>
    </w:p>
    <w:p>
      <w:pPr>
        <w:pStyle w:val="5"/>
        <w:rPr>
          <w:rFonts w:ascii="宋体" w:hAnsi="宋体" w:eastAsia="宋体" w:cs="宋体"/>
          <w:b/>
          <w:bCs w:val="0"/>
          <w:sz w:val="24"/>
          <w:szCs w:val="24"/>
        </w:rPr>
      </w:pPr>
      <w:bookmarkStart w:id="3" w:name="_Toc131002790"/>
      <w:r>
        <w:rPr>
          <w:rFonts w:hint="eastAsia"/>
          <w:b/>
          <w:bCs w:val="0"/>
          <w:sz w:val="24"/>
          <w:szCs w:val="24"/>
        </w:rPr>
        <w:t>（一）专业概况</w:t>
      </w:r>
      <w:bookmarkEnd w:id="3"/>
    </w:p>
    <w:p>
      <w:pPr>
        <w:spacing w:line="400" w:lineRule="exact"/>
        <w:ind w:firstLine="480" w:firstLineChars="200"/>
        <w:rPr>
          <w:rFonts w:ascii="宋体" w:hAnsi="宋体"/>
          <w:color w:val="000000"/>
          <w:sz w:val="24"/>
        </w:rPr>
      </w:pPr>
      <w:r>
        <w:rPr>
          <w:rFonts w:hint="eastAsia" w:ascii="宋体" w:hAnsi="宋体"/>
          <w:color w:val="000000"/>
          <w:sz w:val="24"/>
        </w:rPr>
        <w:t>为适应汽车</w:t>
      </w:r>
      <w:r>
        <w:rPr>
          <w:rFonts w:hint="eastAsia" w:ascii="宋体" w:hAnsi="宋体"/>
          <w:color w:val="000000"/>
          <w:sz w:val="24"/>
          <w:lang w:val="en-US" w:eastAsia="zh-CN"/>
        </w:rPr>
        <w:t>营销与</w:t>
      </w:r>
      <w:r>
        <w:rPr>
          <w:rFonts w:hint="eastAsia" w:ascii="宋体" w:hAnsi="宋体"/>
          <w:color w:val="000000"/>
          <w:sz w:val="24"/>
        </w:rPr>
        <w:t>服务领域优化升级需要，对接汽车产业电动化、网联化、智能化、共享化发展新趋势，对接新产业、新业态、新模式下汽车</w:t>
      </w:r>
      <w:r>
        <w:rPr>
          <w:rFonts w:hint="eastAsia" w:ascii="宋体" w:hAnsi="宋体"/>
          <w:color w:val="000000"/>
          <w:sz w:val="24"/>
          <w:lang w:val="en-US" w:eastAsia="zh-CN"/>
        </w:rPr>
        <w:t>营销</w:t>
      </w:r>
      <w:r>
        <w:rPr>
          <w:rFonts w:hint="eastAsia" w:ascii="宋体" w:hAnsi="宋体"/>
          <w:color w:val="000000"/>
          <w:sz w:val="24"/>
        </w:rPr>
        <w:t>服务、配件服务、二手车服务、保险服务等岗位(群)的新要求，不断满足汽车</w:t>
      </w:r>
      <w:r>
        <w:rPr>
          <w:rFonts w:hint="eastAsia" w:ascii="宋体" w:hAnsi="宋体"/>
          <w:color w:val="000000"/>
          <w:sz w:val="24"/>
          <w:lang w:val="en-US" w:eastAsia="zh-CN"/>
        </w:rPr>
        <w:t>营销</w:t>
      </w:r>
      <w:r>
        <w:rPr>
          <w:rFonts w:hint="eastAsia" w:ascii="宋体" w:hAnsi="宋体"/>
          <w:color w:val="000000"/>
          <w:sz w:val="24"/>
        </w:rPr>
        <w:t>服务领域高质量发展对高素质技术技能人才的需求，推动职业教育专业升级和数字化改造，遵循推进现代职业教育高质量发展的总体要求。</w:t>
      </w:r>
    </w:p>
    <w:p>
      <w:pPr>
        <w:spacing w:line="400" w:lineRule="exact"/>
        <w:ind w:firstLine="480" w:firstLineChars="200"/>
        <w:rPr>
          <w:rFonts w:hint="eastAsia" w:ascii="宋体" w:hAnsi="宋体"/>
          <w:color w:val="000000"/>
          <w:sz w:val="24"/>
        </w:rPr>
      </w:pPr>
      <w:r>
        <w:rPr>
          <w:rFonts w:hint="eastAsia" w:ascii="宋体" w:hAnsi="宋体"/>
          <w:color w:val="000000"/>
          <w:sz w:val="24"/>
        </w:rPr>
        <w:t>本专业培养能够践行社会主义核心价值观，德智体美劳全面发展，具有一定的科学文化水平，良好的人文素养、科学素养、职业道德和创新意识，精益求精的工匠精神，较强的就业创业能力和可持续发展的能力，掌握本专业知识和技术技能，面向汽车零售业、汽车保险业的销售、售后服务等职业（岗位）群，能够从事汽车销售、汽车售后服务、汽车配件销售管理、二手车业务、汽车维修等工作；可以在保险公司、保险类公估行从事车险查勘与定损等工作的高素质复合型技术技能人才。</w:t>
      </w:r>
    </w:p>
    <w:p>
      <w:pPr>
        <w:spacing w:line="400" w:lineRule="exact"/>
        <w:ind w:firstLine="480" w:firstLineChars="200"/>
        <w:rPr>
          <w:rFonts w:ascii="宋体" w:hAnsi="宋体" w:eastAsia="宋体" w:cs="宋体"/>
          <w:bCs/>
          <w:color w:val="000000"/>
          <w:kern w:val="0"/>
          <w:sz w:val="24"/>
          <w:szCs w:val="24"/>
        </w:rPr>
      </w:pPr>
      <w:r>
        <w:rPr>
          <w:rFonts w:hint="eastAsia" w:ascii="宋体" w:hAnsi="宋体"/>
          <w:color w:val="000000"/>
          <w:sz w:val="24"/>
        </w:rPr>
        <w:t>本专业毕业生</w:t>
      </w:r>
      <w:r>
        <w:rPr>
          <w:rFonts w:hint="eastAsia" w:ascii="宋体" w:hAnsi="宋体"/>
          <w:color w:val="000000"/>
          <w:sz w:val="24"/>
          <w:lang w:val="en-US" w:eastAsia="zh-CN"/>
        </w:rPr>
        <w:t>为了能适应各对接</w:t>
      </w:r>
      <w:r>
        <w:rPr>
          <w:rFonts w:hint="eastAsia" w:ascii="宋体" w:hAnsi="宋体"/>
          <w:color w:val="000000"/>
          <w:sz w:val="24"/>
        </w:rPr>
        <w:t>岗位的工作，专业学生急需考取的技能等级证书包括1</w:t>
      </w:r>
      <w:r>
        <w:rPr>
          <w:rFonts w:ascii="宋体" w:hAnsi="宋体"/>
          <w:color w:val="000000"/>
          <w:sz w:val="24"/>
        </w:rPr>
        <w:t>+X</w:t>
      </w:r>
      <w:r>
        <w:rPr>
          <w:rFonts w:hint="eastAsia" w:ascii="宋体" w:hAnsi="宋体"/>
          <w:color w:val="000000"/>
          <w:sz w:val="24"/>
        </w:rPr>
        <w:t>证书、汽车维修工，在条件允许的情况下，建议考取的证书有汽车驾驶证。此外，学生也可以依据自己将要从事的岗位情况，考取机动车检测维修专业技术人员职业水平证书。</w:t>
      </w:r>
    </w:p>
    <w:p>
      <w:pPr>
        <w:pStyle w:val="5"/>
        <w:rPr>
          <w:rFonts w:hint="eastAsia"/>
          <w:b/>
          <w:bCs w:val="0"/>
          <w:sz w:val="24"/>
          <w:szCs w:val="24"/>
        </w:rPr>
      </w:pPr>
      <w:bookmarkStart w:id="4" w:name="_Toc131002791"/>
      <w:r>
        <w:rPr>
          <w:rFonts w:hint="eastAsia"/>
          <w:b/>
          <w:bCs w:val="0"/>
          <w:sz w:val="24"/>
          <w:szCs w:val="24"/>
        </w:rPr>
        <w:t>（二）调研任务</w:t>
      </w:r>
      <w:bookmarkEnd w:id="4"/>
    </w:p>
    <w:p>
      <w:pPr>
        <w:spacing w:line="400" w:lineRule="exact"/>
        <w:ind w:firstLine="480" w:firstLineChars="200"/>
        <w:rPr>
          <w:rFonts w:ascii="宋体" w:hAnsi="宋体"/>
          <w:color w:val="000000"/>
          <w:sz w:val="24"/>
        </w:rPr>
      </w:pPr>
      <w:r>
        <w:rPr>
          <w:rFonts w:hint="eastAsia" w:ascii="宋体" w:hAnsi="宋体"/>
          <w:color w:val="000000"/>
          <w:sz w:val="24"/>
        </w:rPr>
        <w:t>在省交通行指委汽车技术类专业委员会、汽车维修</w:t>
      </w:r>
      <w:r>
        <w:rPr>
          <w:rFonts w:hint="eastAsia" w:ascii="宋体" w:hAnsi="宋体"/>
          <w:color w:val="000000"/>
          <w:sz w:val="24"/>
          <w:lang w:val="en-US" w:eastAsia="zh-CN"/>
        </w:rPr>
        <w:t>服务</w:t>
      </w:r>
      <w:r>
        <w:rPr>
          <w:rFonts w:hint="eastAsia" w:ascii="宋体" w:hAnsi="宋体"/>
          <w:color w:val="000000"/>
          <w:sz w:val="24"/>
        </w:rPr>
        <w:t>行业协会的带领下，人才培养方案制定小组成员走访了多家用人单位，对我院汽车</w:t>
      </w:r>
      <w:r>
        <w:rPr>
          <w:rFonts w:hint="eastAsia" w:ascii="宋体" w:hAnsi="宋体"/>
          <w:color w:val="000000"/>
          <w:sz w:val="24"/>
          <w:lang w:val="en-US" w:eastAsia="zh-CN"/>
        </w:rPr>
        <w:t>技术服务与营销</w:t>
      </w:r>
      <w:r>
        <w:rPr>
          <w:rFonts w:hint="eastAsia" w:ascii="宋体" w:hAnsi="宋体"/>
          <w:color w:val="000000"/>
          <w:sz w:val="24"/>
        </w:rPr>
        <w:t>专业毕业生进行了跟踪调查，主要是针对本专业学生就业人数相对较多和就业比较固定的单位。</w:t>
      </w:r>
    </w:p>
    <w:p>
      <w:pPr>
        <w:spacing w:line="400" w:lineRule="exact"/>
        <w:ind w:firstLine="480" w:firstLineChars="200"/>
        <w:rPr>
          <w:rFonts w:ascii="宋体" w:hAnsi="宋体" w:eastAsia="宋体" w:cs="宋体"/>
          <w:bCs/>
          <w:color w:val="000000"/>
          <w:kern w:val="0"/>
          <w:sz w:val="24"/>
          <w:szCs w:val="24"/>
        </w:rPr>
      </w:pPr>
      <w:r>
        <w:rPr>
          <w:rFonts w:hint="eastAsia" w:ascii="宋体" w:hAnsi="宋体"/>
          <w:color w:val="000000"/>
          <w:sz w:val="24"/>
        </w:rPr>
        <w:t>本次调研主要目的：为适应用人单位对汽车</w:t>
      </w:r>
      <w:r>
        <w:rPr>
          <w:rFonts w:hint="eastAsia" w:ascii="宋体" w:hAnsi="宋体"/>
          <w:color w:val="000000"/>
          <w:sz w:val="24"/>
          <w:lang w:val="en-US" w:eastAsia="zh-CN"/>
        </w:rPr>
        <w:t>营销与服务</w:t>
      </w:r>
      <w:r>
        <w:rPr>
          <w:rFonts w:hint="eastAsia" w:ascii="宋体" w:hAnsi="宋体"/>
          <w:color w:val="000000"/>
          <w:sz w:val="24"/>
        </w:rPr>
        <w:t>及相关人才的需要，更好地服务地方经济建设，希望通过对汽车后市场与维修系相关专业的调研，了解目前企业现状和发展趋势；进一步了解企业相关职业岗位群及相应的职业能力要求，在此基础上对我院目前使用的人才培养方案进行修订，构建课程体系，进行教学改革，适应“十四五”的发展规划要求，能根据市场需求情况，为企业培养真正所需的技能型应用人才。了解企业目前在新技术、新工艺、新材料</w:t>
      </w:r>
      <w:r>
        <w:rPr>
          <w:rFonts w:hint="eastAsia" w:ascii="宋体" w:hAnsi="宋体"/>
          <w:color w:val="000000"/>
          <w:sz w:val="24"/>
          <w:lang w:eastAsia="zh-CN"/>
        </w:rPr>
        <w:t>、</w:t>
      </w:r>
      <w:r>
        <w:rPr>
          <w:rFonts w:hint="eastAsia" w:ascii="宋体" w:hAnsi="宋体"/>
          <w:color w:val="000000"/>
          <w:sz w:val="24"/>
          <w:lang w:val="en-US" w:eastAsia="zh-CN"/>
        </w:rPr>
        <w:t>新营销模式</w:t>
      </w:r>
      <w:r>
        <w:rPr>
          <w:rFonts w:hint="eastAsia" w:ascii="宋体" w:hAnsi="宋体"/>
          <w:color w:val="000000"/>
          <w:sz w:val="24"/>
        </w:rPr>
        <w:t>等方面应用情况，由此对我院目前各相关专业的教学内容，课程标准提出具有先进性，前瞻性的修改意见。了解企业在生产组织，设备使用和管理方面的经验心得，了解企业对毕业生的社会能力和职业素养的具体要求，结合我院办学规模发展规划，对我院该专业的实训基地提出整改意见。</w:t>
      </w:r>
    </w:p>
    <w:p>
      <w:pPr>
        <w:pStyle w:val="5"/>
        <w:rPr>
          <w:rFonts w:hint="eastAsia"/>
          <w:b/>
          <w:bCs w:val="0"/>
          <w:sz w:val="24"/>
          <w:szCs w:val="24"/>
        </w:rPr>
      </w:pPr>
      <w:bookmarkStart w:id="5" w:name="_Toc131002792"/>
      <w:r>
        <w:rPr>
          <w:rFonts w:hint="eastAsia"/>
          <w:b/>
          <w:bCs w:val="0"/>
          <w:sz w:val="24"/>
          <w:szCs w:val="24"/>
        </w:rPr>
        <w:t>（三）调研方法</w:t>
      </w:r>
      <w:bookmarkEnd w:id="5"/>
    </w:p>
    <w:p>
      <w:pPr>
        <w:pStyle w:val="3"/>
        <w:spacing w:line="360" w:lineRule="auto"/>
        <w:ind w:left="0" w:firstLine="480" w:firstLineChars="200"/>
        <w:jc w:val="both"/>
        <w:rPr>
          <w:rFonts w:hint="eastAsia" w:ascii="宋体" w:hAnsi="宋体" w:eastAsiaTheme="minorEastAsia" w:cstheme="minorBidi"/>
          <w:color w:val="000000"/>
          <w:kern w:val="2"/>
          <w:sz w:val="24"/>
          <w:szCs w:val="24"/>
          <w:lang w:val="en-US" w:eastAsia="zh-CN" w:bidi="ar-SA"/>
        </w:rPr>
      </w:pPr>
      <w:r>
        <w:rPr>
          <w:rFonts w:hint="eastAsia" w:ascii="宋体" w:hAnsi="宋体" w:eastAsiaTheme="minorEastAsia" w:cstheme="minorBidi"/>
          <w:color w:val="000000"/>
          <w:kern w:val="2"/>
          <w:sz w:val="24"/>
          <w:szCs w:val="24"/>
          <w:lang w:val="en-US" w:eastAsia="zh-CN" w:bidi="ar-SA"/>
        </w:rPr>
        <w:t>问卷调查法：通过问卷的形式对汽车营销与服务专业毕业学生的就业进行调查，以及企业对员工能力需求的调查。</w:t>
      </w:r>
    </w:p>
    <w:p>
      <w:pPr>
        <w:pStyle w:val="3"/>
        <w:spacing w:line="360" w:lineRule="auto"/>
        <w:ind w:left="0" w:firstLine="480" w:firstLineChars="200"/>
        <w:jc w:val="both"/>
        <w:rPr>
          <w:rFonts w:hint="eastAsia" w:ascii="宋体" w:hAnsi="宋体" w:eastAsiaTheme="minorEastAsia" w:cstheme="minorBidi"/>
          <w:color w:val="000000"/>
          <w:kern w:val="2"/>
          <w:sz w:val="24"/>
          <w:szCs w:val="24"/>
          <w:lang w:val="en-US" w:eastAsia="zh-CN" w:bidi="ar-SA"/>
        </w:rPr>
      </w:pPr>
      <w:r>
        <w:rPr>
          <w:rFonts w:hint="eastAsia" w:ascii="宋体" w:hAnsi="宋体" w:eastAsiaTheme="minorEastAsia" w:cstheme="minorBidi"/>
          <w:color w:val="000000"/>
          <w:kern w:val="2"/>
          <w:sz w:val="24"/>
          <w:szCs w:val="24"/>
          <w:lang w:val="en-US" w:eastAsia="zh-CN" w:bidi="ar-SA"/>
        </w:rPr>
        <w:t>访谈法：与各级学校汽车营销专业教师与学生的沟通，与汽车营销服务企业各级领导谈话。</w:t>
      </w:r>
    </w:p>
    <w:p>
      <w:pPr>
        <w:pStyle w:val="3"/>
        <w:spacing w:line="360" w:lineRule="auto"/>
        <w:ind w:left="0" w:firstLine="480" w:firstLineChars="200"/>
        <w:jc w:val="both"/>
        <w:rPr>
          <w:rFonts w:hint="eastAsia" w:ascii="宋体" w:hAnsi="宋体" w:eastAsiaTheme="minorEastAsia" w:cstheme="minorBidi"/>
          <w:color w:val="000000"/>
          <w:kern w:val="2"/>
          <w:sz w:val="24"/>
          <w:szCs w:val="24"/>
          <w:lang w:val="en-US" w:eastAsia="zh-CN" w:bidi="ar-SA"/>
        </w:rPr>
      </w:pPr>
      <w:r>
        <w:rPr>
          <w:rFonts w:hint="eastAsia" w:ascii="宋体" w:hAnsi="宋体" w:eastAsiaTheme="minorEastAsia" w:cstheme="minorBidi"/>
          <w:color w:val="000000"/>
          <w:kern w:val="2"/>
          <w:sz w:val="24"/>
          <w:szCs w:val="24"/>
          <w:lang w:val="en-US" w:eastAsia="zh-CN" w:bidi="ar-SA"/>
        </w:rPr>
        <w:t>查阅资料：通过网站、新闻、报纸等各方面的途径，查阅相关资料、数据。</w:t>
      </w:r>
    </w:p>
    <w:p>
      <w:pPr>
        <w:pStyle w:val="3"/>
        <w:spacing w:line="360" w:lineRule="auto"/>
        <w:ind w:left="0" w:firstLine="480" w:firstLineChars="200"/>
        <w:jc w:val="both"/>
        <w:rPr>
          <w:rFonts w:hint="eastAsia" w:ascii="宋体" w:hAnsi="宋体" w:eastAsiaTheme="minorEastAsia" w:cstheme="minorBidi"/>
          <w:color w:val="000000"/>
          <w:kern w:val="2"/>
          <w:sz w:val="24"/>
          <w:szCs w:val="24"/>
          <w:lang w:val="en-US" w:eastAsia="zh-CN" w:bidi="ar-SA"/>
        </w:rPr>
      </w:pPr>
      <w:r>
        <w:rPr>
          <w:rFonts w:hint="eastAsia" w:ascii="宋体" w:hAnsi="宋体" w:eastAsiaTheme="minorEastAsia" w:cstheme="minorBidi"/>
          <w:color w:val="000000"/>
          <w:kern w:val="2"/>
          <w:sz w:val="24"/>
          <w:szCs w:val="24"/>
          <w:lang w:val="en-US" w:eastAsia="zh-CN" w:bidi="ar-SA"/>
        </w:rPr>
        <w:t>实地考察：对南京、无锡、常州、徐州、连云港等学校和公司进行走访。</w:t>
      </w:r>
    </w:p>
    <w:p>
      <w:pPr>
        <w:pStyle w:val="4"/>
        <w:rPr>
          <w:rFonts w:hint="default" w:ascii="黑体" w:hAnsi="黑体" w:eastAsia="黑体" w:cs="黑体"/>
          <w:b w:val="0"/>
          <w:color w:val="000000"/>
          <w:kern w:val="0"/>
          <w:sz w:val="36"/>
          <w:szCs w:val="36"/>
          <w:highlight w:val="yellow"/>
          <w:lang w:val="en-US" w:eastAsia="zh-CN"/>
        </w:rPr>
      </w:pPr>
      <w:bookmarkStart w:id="6" w:name="_Toc131002793"/>
      <w:r>
        <w:rPr>
          <w:rFonts w:hint="eastAsia" w:ascii="黑体" w:hAnsi="黑体" w:eastAsia="黑体" w:cs="黑体"/>
          <w:b w:val="0"/>
          <w:color w:val="000000"/>
          <w:kern w:val="0"/>
          <w:sz w:val="36"/>
          <w:szCs w:val="36"/>
        </w:rPr>
        <w:t>二、</w:t>
      </w:r>
      <w:r>
        <w:rPr>
          <w:rFonts w:hint="eastAsia" w:ascii="黑体" w:hAnsi="黑体" w:eastAsia="黑体"/>
          <w:b w:val="0"/>
          <w:sz w:val="36"/>
          <w:szCs w:val="36"/>
          <w:lang w:val="zh-CN"/>
        </w:rPr>
        <w:t>汽车</w:t>
      </w:r>
      <w:r>
        <w:rPr>
          <w:rFonts w:hint="eastAsia" w:ascii="黑体" w:hAnsi="黑体" w:eastAsia="黑体"/>
          <w:b w:val="0"/>
          <w:sz w:val="36"/>
          <w:szCs w:val="36"/>
          <w:lang w:val="en-US" w:eastAsia="zh-CN"/>
        </w:rPr>
        <w:t>技术服务与营销</w:t>
      </w:r>
      <w:r>
        <w:rPr>
          <w:rFonts w:hint="eastAsia" w:ascii="黑体" w:hAnsi="黑体" w:eastAsia="黑体"/>
          <w:b w:val="0"/>
          <w:sz w:val="36"/>
          <w:szCs w:val="36"/>
        </w:rPr>
        <w:t>专业</w:t>
      </w:r>
      <w:r>
        <w:rPr>
          <w:rFonts w:hint="eastAsia" w:ascii="黑体" w:hAnsi="黑体" w:eastAsia="黑体" w:cs="黑体"/>
          <w:b w:val="0"/>
          <w:color w:val="000000"/>
          <w:kern w:val="0"/>
          <w:sz w:val="36"/>
          <w:szCs w:val="36"/>
        </w:rPr>
        <w:t>调研内容</w:t>
      </w:r>
      <w:bookmarkEnd w:id="6"/>
      <w:r>
        <w:rPr>
          <w:rFonts w:hint="eastAsia" w:ascii="黑体" w:hAnsi="黑体" w:eastAsia="黑体" w:cs="黑体"/>
          <w:b w:val="0"/>
          <w:color w:val="000000"/>
          <w:kern w:val="0"/>
          <w:sz w:val="36"/>
          <w:szCs w:val="36"/>
          <w:lang w:val="en-US" w:eastAsia="zh-CN"/>
        </w:rPr>
        <w:t>及结论</w:t>
      </w:r>
    </w:p>
    <w:p>
      <w:pPr>
        <w:pStyle w:val="5"/>
        <w:rPr>
          <w:rFonts w:hint="eastAsia"/>
          <w:b/>
          <w:bCs w:val="0"/>
          <w:sz w:val="24"/>
          <w:szCs w:val="24"/>
        </w:rPr>
      </w:pPr>
      <w:bookmarkStart w:id="7" w:name="_Toc131002794"/>
      <w:r>
        <w:rPr>
          <w:rFonts w:hint="eastAsia"/>
          <w:b/>
          <w:bCs w:val="0"/>
          <w:sz w:val="24"/>
          <w:szCs w:val="24"/>
        </w:rPr>
        <w:t>（一）汽车产业行业发展动态</w:t>
      </w:r>
      <w:bookmarkEnd w:id="7"/>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bCs/>
          <w:color w:val="000000" w:themeColor="text1"/>
          <w:kern w:val="0"/>
          <w:sz w:val="24"/>
          <w:szCs w:val="24"/>
          <w14:textFill>
            <w14:solidFill>
              <w14:schemeClr w14:val="tx1"/>
            </w14:solidFill>
          </w14:textFill>
        </w:rPr>
      </w:pPr>
      <w:r>
        <w:rPr>
          <w:rFonts w:hint="eastAsia" w:ascii="宋体" w:hAnsi="宋体" w:eastAsia="宋体" w:cs="宋体"/>
          <w:bCs/>
          <w:color w:val="000000" w:themeColor="text1"/>
          <w:kern w:val="0"/>
          <w:sz w:val="24"/>
          <w:szCs w:val="24"/>
          <w:lang w:val="en-US" w:eastAsia="zh-CN"/>
          <w14:textFill>
            <w14:solidFill>
              <w14:schemeClr w14:val="tx1"/>
            </w14:solidFill>
          </w14:textFill>
        </w:rPr>
        <w:t>1</w:t>
      </w:r>
      <w:r>
        <w:rPr>
          <w:rFonts w:hint="eastAsia" w:ascii="宋体" w:hAnsi="宋体" w:eastAsia="宋体" w:cs="宋体"/>
          <w:bCs/>
          <w:color w:val="000000" w:themeColor="text1"/>
          <w:kern w:val="0"/>
          <w:sz w:val="24"/>
          <w:szCs w:val="24"/>
          <w14:textFill>
            <w14:solidFill>
              <w14:schemeClr w14:val="tx1"/>
            </w14:solidFill>
          </w14:textFill>
        </w:rPr>
        <w:t>.我国汽车产业发展现状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汽车产业作为国民经济的重要支柱产业，为社会经济的发展做出了重大贡献，而如今，中国车市已进入“微增长”新常态。据统计，截至20</w:t>
      </w:r>
      <w:r>
        <w:rPr>
          <w:rFonts w:hint="eastAsia" w:ascii="宋体" w:hAnsi="宋体" w:eastAsia="宋体" w:cs="宋体"/>
          <w:color w:val="000000" w:themeColor="text1"/>
          <w:sz w:val="24"/>
          <w:szCs w:val="24"/>
          <w:lang w:val="en-US" w:eastAsia="zh-CN"/>
          <w14:textFill>
            <w14:solidFill>
              <w14:schemeClr w14:val="tx1"/>
            </w14:solidFill>
          </w14:textFill>
        </w:rPr>
        <w:t>22</w:t>
      </w:r>
      <w:r>
        <w:rPr>
          <w:rFonts w:hint="eastAsia" w:ascii="宋体" w:hAnsi="宋体" w:eastAsia="宋体" w:cs="宋体"/>
          <w:color w:val="000000" w:themeColor="text1"/>
          <w:sz w:val="24"/>
          <w:szCs w:val="24"/>
          <w14:textFill>
            <w14:solidFill>
              <w14:schemeClr w14:val="tx1"/>
            </w14:solidFill>
          </w14:textFill>
        </w:rPr>
        <w:t>年12月31日，全国汽车保有量已经</w:t>
      </w:r>
      <w:r>
        <w:rPr>
          <w:rFonts w:hint="eastAsia" w:ascii="宋体" w:hAnsi="宋体" w:eastAsia="宋体" w:cs="宋体"/>
          <w:color w:val="000000" w:themeColor="text1"/>
          <w:sz w:val="24"/>
          <w:szCs w:val="24"/>
          <w:lang w:val="en-US" w:eastAsia="zh-CN"/>
          <w14:textFill>
            <w14:solidFill>
              <w14:schemeClr w14:val="tx1"/>
            </w14:solidFill>
          </w14:textFill>
        </w:rPr>
        <w:t>近4</w:t>
      </w:r>
      <w:r>
        <w:rPr>
          <w:rFonts w:hint="eastAsia" w:ascii="宋体" w:hAnsi="宋体" w:eastAsia="宋体" w:cs="宋体"/>
          <w:color w:val="000000" w:themeColor="text1"/>
          <w:sz w:val="24"/>
          <w:szCs w:val="24"/>
          <w14:textFill>
            <w14:solidFill>
              <w14:schemeClr w14:val="tx1"/>
            </w14:solidFill>
          </w14:textFill>
        </w:rPr>
        <w:t>亿辆，按照三口之家计算，平均每两户居民就拥有一台汽车。随着汽车保有量的增加，加上传统车型固有的“耗能”、“排放”弊端，以及各地区限购、限行政策的出台和执行等，据有关专家预测，未来几年，汽车市场可能会面临3％以下的增速，甚至会出现零增长、负增长的局面。汽车产业的升级转型势在必行。</w:t>
      </w:r>
      <w:bookmarkStart w:id="8" w:name="_Toc131002795"/>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 xml:space="preserve">随着新能源、互联网、大数据、云计算等技术的发展，全新的汽车时代已经到来。在全球互联网科技领域，中国虽然和美国有差距，但远远领先于其他发达国家，而且中国互联网科技与各产业领域的深度融合也在不断加速，创造出了各种新模式、新业态、新技术、新产品。对于拥有全球最大汽车市场和最大应用数据市场的中国而言，随着汽车新技术的发展、市场需求量、消费者消费行为等改变，在车联网背景下，传统汽车产业正面临着升级和转型的挑战，正迈向电动化、网络化和智能化。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如图1所示，当前汽车产业的深刻变革是科技革命与制约因素内外共同作用的结果。一方面，新一轮科技革命的主要代表技术都将在汽车领域得到广泛应用，从而为产业升级提供了强有力的科技驱动；另一方面，能源消耗、环境保护、交通拥堵和行车安全即所谓汽车社会的“四大公害”，给产业可持续发展带来的压力与日俱增，要求汽车产业必须化压力为动力，把握机遇提供全新的解决方案。由此导致本轮变革呈现全面转型升级的特征，涵盖了产品形态的重新定义、产业发展的全面创新、制造体系的重大升级和产业生态的深度重塑。</w:t>
      </w:r>
    </w:p>
    <w:p>
      <w:pPr>
        <w:pStyle w:val="2"/>
        <w:rPr>
          <w:rFonts w:ascii="宋体" w:hAnsi="宋体" w:eastAsia="宋体" w:cs="宋体"/>
          <w:color w:val="000000"/>
          <w:kern w:val="0"/>
          <w:sz w:val="24"/>
          <w:szCs w:val="24"/>
        </w:rPr>
      </w:pPr>
      <w:r>
        <w:rPr>
          <w:rFonts w:ascii="宋体" w:hAnsi="宋体" w:eastAsia="宋体" w:cs="宋体"/>
          <w:color w:val="000000"/>
          <w:kern w:val="0"/>
          <w:sz w:val="24"/>
          <w:szCs w:val="24"/>
        </w:rPr>
        <w:drawing>
          <wp:inline distT="0" distB="0" distL="0" distR="0">
            <wp:extent cx="4727575" cy="2494280"/>
            <wp:effectExtent l="0" t="0" r="9525" b="762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noChangeArrowheads="1"/>
                    </pic:cNvPicPr>
                  </pic:nvPicPr>
                  <pic:blipFill>
                    <a:blip r:embed="rId5" cstate="print"/>
                    <a:srcRect/>
                    <a:stretch>
                      <a:fillRect/>
                    </a:stretch>
                  </pic:blipFill>
                  <pic:spPr>
                    <a:xfrm>
                      <a:off x="0" y="0"/>
                      <a:ext cx="4731685" cy="2496629"/>
                    </a:xfrm>
                    <a:prstGeom prst="rect">
                      <a:avLst/>
                    </a:prstGeom>
                    <a:noFill/>
                    <a:ln w="9525">
                      <a:noFill/>
                      <a:miter lim="800000"/>
                      <a:headEnd/>
                      <a:tailEnd/>
                    </a:ln>
                  </pic:spPr>
                </pic:pic>
              </a:graphicData>
            </a:graphic>
          </wp:inline>
        </w:drawing>
      </w:r>
    </w:p>
    <w:p>
      <w:pPr>
        <w:pStyle w:val="2"/>
        <w:ind w:left="0" w:leftChars="0" w:firstLine="0" w:firstLineChars="0"/>
        <w:rPr>
          <w:rFonts w:ascii="宋体" w:hAnsi="宋体" w:eastAsia="宋体" w:cs="宋体"/>
          <w:color w:val="000000"/>
          <w:kern w:val="0"/>
          <w:sz w:val="24"/>
          <w:szCs w:val="24"/>
        </w:rPr>
      </w:pPr>
    </w:p>
    <w:p>
      <w:pPr>
        <w:pStyle w:val="2"/>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图1 汽车产业的深刻变革</w:t>
      </w:r>
    </w:p>
    <w:p>
      <w:pPr>
        <w:pStyle w:val="2"/>
        <w:jc w:val="center"/>
        <w:rPr>
          <w:rFonts w:hint="eastAsia" w:ascii="宋体" w:hAnsi="宋体" w:eastAsia="宋体" w:cs="宋体"/>
          <w:color w:val="000000" w:themeColor="text1"/>
          <w:sz w:val="24"/>
          <w:szCs w:val="24"/>
          <w14:textFill>
            <w14:solidFill>
              <w14:schemeClr w14:val="tx1"/>
            </w14:solidFill>
          </w14:textFill>
        </w:rPr>
      </w:pPr>
    </w:p>
    <w:p>
      <w:pPr>
        <w:pStyle w:val="5"/>
      </w:pPr>
      <w:r>
        <w:rPr>
          <w:rFonts w:hint="eastAsia"/>
        </w:rPr>
        <w:t>（二）江苏汽车</w:t>
      </w:r>
      <w:r>
        <w:rPr>
          <w:rFonts w:hint="eastAsia"/>
          <w:lang w:val="en-US" w:eastAsia="zh-CN"/>
        </w:rPr>
        <w:t>技术服务与营销</w:t>
      </w:r>
      <w:r>
        <w:rPr>
          <w:rFonts w:hint="eastAsia"/>
        </w:rPr>
        <w:t>专业人才需求情况</w:t>
      </w:r>
      <w:bookmarkEnd w:id="8"/>
    </w:p>
    <w:p>
      <w:pPr>
        <w:pStyle w:val="5"/>
        <w:ind w:firstLine="480" w:firstLineChars="200"/>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pPr>
      <w:bookmarkStart w:id="9" w:name="_Toc131002796"/>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江苏省汽车产业在发展数量的同时，也在不断实现升级和跨越式发展。汽车品牌数字化营销转型加深加快,以互联网为主导的全域媒介为品牌提供多元的营销链路,汽车垂类媒体、社交媒体、视频媒体等,通过各具优势的服务能力赋能汽车品牌,实现场景、内容、社交、流量全覆盖,汽车后市场展现出广阔的经济前景与更加强劲的人才需求。汽车技术服务与营销的内涵和外延大大拓展，包括新车营销、配件与用品营销、二手车营销、维修接待、汽车保险、汽车金融、汽车俱乐部等多行业汇聚的产业链。这个产业链将提供庞大的岗位群，其中有众多适合交通类职业院校汽车营销与服务专业毕业生的岗位，例如新车营销、汽车新媒体运营管理、配件与用品营销、二手车营销、二手车鉴定与评估、维修接待、汽车保险、汽车市场专员、汽车金融、汽车俱乐部等。汽车营销与服务专业人才总量将不低于150万人。</w:t>
      </w:r>
    </w:p>
    <w:p>
      <w:pPr>
        <w:pStyle w:val="5"/>
        <w:rPr>
          <w:rFonts w:hint="eastAsia"/>
          <w:lang w:val="en-US" w:eastAsia="zh-CN"/>
        </w:rPr>
      </w:pPr>
      <w:r>
        <w:rPr>
          <w:rFonts w:hint="eastAsia"/>
          <w:lang w:val="en-US" w:eastAsia="zh-CN"/>
        </w:rPr>
        <w:t>（三）</w:t>
      </w:r>
      <w:bookmarkEnd w:id="9"/>
      <w:r>
        <w:rPr>
          <w:rFonts w:hint="eastAsia"/>
          <w:lang w:val="en-US" w:eastAsia="zh-CN"/>
        </w:rPr>
        <w:t>汽车产业新业态对营销专业职业人才能力与素质要求</w:t>
      </w:r>
    </w:p>
    <w:p>
      <w:pPr>
        <w:pStyle w:val="6"/>
        <w:spacing w:line="360" w:lineRule="auto"/>
        <w:ind w:firstLine="480" w:firstLineChars="200"/>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汽车营销专业的毕业生主要服务于汽车后市场，服务于汽车4S店，维修企业、保险公司、二手车交易中心、汽车租赁、汽车金融等企业。具体工作岗位如汽车销售顾问、汽车服务顾问、汽车索赔员、汽车金融专员、汽车市场专员、网络营销专员、保险销售顾问、仓库管理专员、零配件销售员等。</w:t>
      </w:r>
    </w:p>
    <w:p>
      <w:pPr>
        <w:pStyle w:val="6"/>
        <w:spacing w:line="360" w:lineRule="auto"/>
        <w:ind w:firstLine="480" w:firstLineChars="200"/>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汽车营销专业的学生要想很好地胜任以上工作岗位的需求，除具备共性的扎实的专业知识和技能以外，还应具备各个工作岗位对应的典型工作任务的能力。比如汽车销售顾问岗位，典型的工作任务有：客户开发、展厅接待、电话接待、需求分析、产品介绍、异议处理、客情维系、网络销售等。销售顾问必须具备开发客户、商务谈判、计算机使用、销售方法运用等专业能力，还应具备语言表达、沟通交流、观察判断、持续学习、信息收集与筛选、团队协作等一般职业能力和综合能力。再比如金融专员，典型的工作任务主要是汽车融资相关业务受理、审核及各类金融产品的营销工作等。需要良好的信贷、财务分析判断能力、办公软件操作、开展各类型金融业务等专业能力，还应具备实事求是的敬业精神和职业道德，人际交往、沟通交流、信息收集和筛选、持续学习及团队协作等一般职业能力和综合能力。</w:t>
      </w:r>
    </w:p>
    <w:p>
      <w:pPr>
        <w:pStyle w:val="6"/>
        <w:spacing w:line="360" w:lineRule="auto"/>
        <w:ind w:firstLine="480" w:firstLineChars="200"/>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 xml:space="preserve">如今汽车行业的转型升级，使得中国汽车市场形态发生一系列转变。销售产品在变，新能源汽车、二手车销售日益占据市场一定份额；销售的媒介在变，网络营销、微信营销、“众筹汽车”C2B 新模式等线上+线下的销售模式越占鳌头，整车市场营销的区域化、电商化、新媒体化、网络化、个性化特征越加明显，这对学生的市场与顾客信息洞察、发掘和处理能力、创新意识、从提供产品到提供解决方案能力、沟通交流能力、学习能力、职业热情度等都有了新的要求。高职汽车营销专业必须紧跟行业发展，不变的发现问题、解决问题、创新发展。 </w:t>
      </w:r>
    </w:p>
    <w:p>
      <w:pPr>
        <w:pStyle w:val="5"/>
        <w:keepNext/>
        <w:keepLines/>
        <w:pageBreakBefore w:val="0"/>
        <w:widowControl w:val="0"/>
        <w:kinsoku/>
        <w:wordWrap/>
        <w:overflowPunct/>
        <w:topLinePunct w:val="0"/>
        <w:autoSpaceDE/>
        <w:autoSpaceDN/>
        <w:bidi w:val="0"/>
        <w:adjustRightInd/>
        <w:snapToGrid/>
        <w:spacing w:before="140" w:after="140"/>
        <w:jc w:val="center"/>
        <w:textAlignment w:val="auto"/>
        <w:rPr>
          <w:rFonts w:hint="eastAsia" w:hAnsi="Courier New" w:cs="Courier New" w:asciiTheme="minorAscii" w:eastAsiaTheme="minorEastAsia"/>
          <w:b w:val="0"/>
          <w:bCs w:val="0"/>
          <w:kern w:val="2"/>
          <w:sz w:val="21"/>
          <w:szCs w:val="21"/>
          <w:lang w:val="en-US" w:eastAsia="zh-CN" w:bidi="ar-SA"/>
        </w:rPr>
      </w:pPr>
      <w:r>
        <w:rPr>
          <w:rFonts w:hint="eastAsia" w:hAnsi="Courier New" w:cs="Courier New" w:asciiTheme="minorAscii" w:eastAsiaTheme="minorEastAsia"/>
          <w:b w:val="0"/>
          <w:bCs w:val="0"/>
          <w:kern w:val="2"/>
          <w:sz w:val="21"/>
          <w:szCs w:val="21"/>
          <w:lang w:val="en-US" w:eastAsia="zh-CN" w:bidi="ar-SA"/>
        </w:rPr>
        <w:t>表1 具体职业岗位能力需求</w:t>
      </w:r>
    </w:p>
    <w:tbl>
      <w:tblPr>
        <w:tblStyle w:val="10"/>
        <w:tblW w:w="92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1966"/>
        <w:gridCol w:w="2060"/>
        <w:gridCol w:w="4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pPr>
              <w:spacing w:line="420" w:lineRule="exact"/>
              <w:jc w:val="center"/>
              <w:rPr>
                <w:rFonts w:ascii="宋体" w:hAnsi="宋体" w:eastAsia="宋体" w:cs="Times New Roman"/>
                <w:b/>
                <w:szCs w:val="21"/>
              </w:rPr>
            </w:pPr>
            <w:r>
              <w:rPr>
                <w:rFonts w:hint="eastAsia" w:ascii="宋体" w:hAnsi="宋体" w:eastAsia="宋体" w:cs="Times New Roman"/>
                <w:b/>
                <w:szCs w:val="21"/>
              </w:rPr>
              <w:t>序号</w:t>
            </w:r>
          </w:p>
        </w:tc>
        <w:tc>
          <w:tcPr>
            <w:tcW w:w="1966" w:type="dxa"/>
            <w:vAlign w:val="center"/>
          </w:tcPr>
          <w:p>
            <w:pPr>
              <w:spacing w:line="420" w:lineRule="exact"/>
              <w:jc w:val="center"/>
              <w:rPr>
                <w:rFonts w:ascii="宋体" w:hAnsi="宋体" w:eastAsia="宋体" w:cs="Times New Roman"/>
                <w:b/>
                <w:szCs w:val="21"/>
              </w:rPr>
            </w:pPr>
            <w:r>
              <w:rPr>
                <w:rFonts w:hint="eastAsia" w:ascii="宋体" w:hAnsi="宋体" w:eastAsia="宋体" w:cs="Times New Roman"/>
                <w:b/>
                <w:szCs w:val="21"/>
              </w:rPr>
              <w:t>核心工作岗位及相关工作岗位</w:t>
            </w:r>
          </w:p>
        </w:tc>
        <w:tc>
          <w:tcPr>
            <w:tcW w:w="2060" w:type="dxa"/>
            <w:vAlign w:val="center"/>
          </w:tcPr>
          <w:p>
            <w:pPr>
              <w:spacing w:line="420" w:lineRule="exact"/>
              <w:jc w:val="center"/>
              <w:rPr>
                <w:rFonts w:ascii="宋体" w:hAnsi="宋体" w:eastAsia="宋体" w:cs="Times New Roman"/>
                <w:b/>
                <w:szCs w:val="21"/>
              </w:rPr>
            </w:pPr>
            <w:r>
              <w:rPr>
                <w:rFonts w:hint="eastAsia" w:ascii="宋体" w:hAnsi="宋体" w:eastAsia="宋体" w:cs="Times New Roman"/>
                <w:b/>
                <w:szCs w:val="21"/>
              </w:rPr>
              <w:t>岗位描述</w:t>
            </w:r>
          </w:p>
        </w:tc>
        <w:tc>
          <w:tcPr>
            <w:tcW w:w="4627" w:type="dxa"/>
            <w:vAlign w:val="center"/>
          </w:tcPr>
          <w:p>
            <w:pPr>
              <w:spacing w:line="420" w:lineRule="exact"/>
              <w:jc w:val="center"/>
              <w:rPr>
                <w:rFonts w:ascii="宋体" w:hAnsi="宋体" w:eastAsia="宋体" w:cs="Times New Roman"/>
                <w:b/>
                <w:szCs w:val="21"/>
              </w:rPr>
            </w:pPr>
            <w:r>
              <w:rPr>
                <w:rFonts w:hint="eastAsia" w:ascii="宋体" w:hAnsi="宋体" w:eastAsia="宋体" w:cs="Times New Roman"/>
                <w:b/>
                <w:szCs w:val="21"/>
              </w:rPr>
              <w:t>职业能力要求及素质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pPr>
              <w:spacing w:line="420" w:lineRule="exact"/>
              <w:jc w:val="center"/>
              <w:rPr>
                <w:rFonts w:hint="eastAsia" w:ascii="宋体" w:hAnsi="宋体" w:eastAsia="宋体" w:cs="Times New Roman"/>
                <w:b/>
                <w:szCs w:val="21"/>
                <w:lang w:val="en-US" w:eastAsia="zh-CN"/>
              </w:rPr>
            </w:pPr>
            <w:r>
              <w:rPr>
                <w:rFonts w:hint="eastAsia" w:ascii="宋体" w:hAnsi="宋体" w:eastAsia="宋体" w:cs="Times New Roman"/>
                <w:b/>
                <w:szCs w:val="21"/>
                <w:lang w:val="en-US" w:eastAsia="zh-CN"/>
              </w:rPr>
              <w:t>1</w:t>
            </w:r>
          </w:p>
        </w:tc>
        <w:tc>
          <w:tcPr>
            <w:tcW w:w="1966" w:type="dxa"/>
            <w:vAlign w:val="center"/>
          </w:tcPr>
          <w:p>
            <w:pPr>
              <w:spacing w:line="420" w:lineRule="exact"/>
              <w:jc w:val="center"/>
              <w:rPr>
                <w:rFonts w:hint="default" w:ascii="宋体" w:hAnsi="宋体" w:eastAsia="宋体" w:cs="Times New Roman"/>
                <w:b/>
                <w:szCs w:val="21"/>
                <w:lang w:val="en-US" w:eastAsia="zh-CN"/>
              </w:rPr>
            </w:pPr>
            <w:r>
              <w:rPr>
                <w:rFonts w:hint="eastAsia" w:ascii="宋体" w:hAnsi="宋体" w:eastAsia="宋体" w:cs="Times New Roman"/>
                <w:b/>
                <w:szCs w:val="21"/>
                <w:lang w:val="en-US" w:eastAsia="zh-CN"/>
              </w:rPr>
              <w:t>汽车销售顾问（核心岗位）</w:t>
            </w:r>
          </w:p>
        </w:tc>
        <w:tc>
          <w:tcPr>
            <w:tcW w:w="2060" w:type="dxa"/>
            <w:vAlign w:val="center"/>
          </w:tcPr>
          <w:p>
            <w:pPr>
              <w:spacing w:line="420" w:lineRule="exact"/>
              <w:jc w:val="left"/>
              <w:rPr>
                <w:rFonts w:hint="eastAsia" w:ascii="宋体" w:hAnsi="宋体" w:eastAsia="宋体" w:cs="Times New Roman"/>
                <w:b/>
                <w:szCs w:val="21"/>
              </w:rPr>
            </w:pPr>
            <w:r>
              <w:rPr>
                <w:rFonts w:hint="eastAsia" w:ascii="宋体" w:hAnsi="宋体" w:eastAsia="宋体" w:cs="Times New Roman"/>
                <w:szCs w:val="21"/>
                <w:lang w:val="en-US" w:eastAsia="zh-CN"/>
              </w:rPr>
              <w:t>负责</w:t>
            </w:r>
            <w:r>
              <w:rPr>
                <w:rFonts w:hint="eastAsia" w:ascii="宋体" w:hAnsi="宋体" w:eastAsia="宋体" w:cs="Times New Roman"/>
                <w:szCs w:val="21"/>
              </w:rPr>
              <w:t>展厅接待、顾客分析、车辆展示与介绍、促成交易、交车服务、售后跟踪服务、汽车销售延伸服务等</w:t>
            </w:r>
            <w:r>
              <w:rPr>
                <w:rFonts w:hint="eastAsia" w:ascii="宋体" w:hAnsi="宋体" w:eastAsia="宋体" w:cs="Times New Roman"/>
                <w:szCs w:val="21"/>
                <w:lang w:val="en-US" w:eastAsia="zh-CN"/>
              </w:rPr>
              <w:t>工作</w:t>
            </w:r>
            <w:r>
              <w:rPr>
                <w:rFonts w:hint="eastAsia" w:ascii="宋体" w:hAnsi="宋体" w:eastAsia="宋体" w:cs="Times New Roman"/>
                <w:szCs w:val="21"/>
                <w:lang w:eastAsia="zh-CN"/>
              </w:rPr>
              <w:t>。</w:t>
            </w:r>
          </w:p>
        </w:tc>
        <w:tc>
          <w:tcPr>
            <w:tcW w:w="4627" w:type="dxa"/>
            <w:vAlign w:val="center"/>
          </w:tcPr>
          <w:p>
            <w:pPr>
              <w:spacing w:line="300" w:lineRule="exact"/>
            </w:pPr>
            <w:r>
              <w:rPr>
                <w:rFonts w:hint="eastAsia"/>
              </w:rPr>
              <w:t>1.有较好的部门组织协调能力，能较好地与部门领导和维修人员进行沟通；</w:t>
            </w:r>
          </w:p>
          <w:p>
            <w:pPr>
              <w:spacing w:line="300" w:lineRule="exact"/>
            </w:pPr>
            <w:r>
              <w:rPr>
                <w:rFonts w:hint="eastAsia"/>
              </w:rPr>
              <w:t>2.能够与客户进行有效沟通，准确</w:t>
            </w:r>
            <w:r>
              <w:rPr>
                <w:rFonts w:hint="eastAsia"/>
                <w:lang w:val="en-US" w:eastAsia="zh-CN"/>
              </w:rPr>
              <w:t>挖掘</w:t>
            </w:r>
            <w:r>
              <w:rPr>
                <w:rFonts w:hint="eastAsia"/>
              </w:rPr>
              <w:t>客户需要，</w:t>
            </w:r>
            <w:r>
              <w:rPr>
                <w:rFonts w:hint="eastAsia"/>
                <w:lang w:val="en-US" w:eastAsia="zh-CN"/>
              </w:rPr>
              <w:t>专业为客户推荐车型并针对性介绍</w:t>
            </w:r>
            <w:r>
              <w:rPr>
                <w:rFonts w:hint="eastAsia"/>
              </w:rPr>
              <w:t xml:space="preserve">； </w:t>
            </w:r>
          </w:p>
          <w:p>
            <w:pPr>
              <w:spacing w:line="300" w:lineRule="exact"/>
              <w:rPr>
                <w:rFonts w:hint="eastAsia"/>
              </w:rPr>
            </w:pPr>
            <w:r>
              <w:rPr>
                <w:rFonts w:hint="eastAsia"/>
              </w:rPr>
              <w:t>3.</w:t>
            </w:r>
            <w:r>
              <w:rPr>
                <w:rFonts w:hint="eastAsia"/>
                <w:lang w:val="en-US" w:eastAsia="zh-CN"/>
              </w:rPr>
              <w:t>能够正确识别客户的异议，并巧妙应对</w:t>
            </w:r>
            <w:r>
              <w:rPr>
                <w:rFonts w:hint="eastAsia"/>
              </w:rPr>
              <w:t xml:space="preserve">； </w:t>
            </w:r>
          </w:p>
          <w:p>
            <w:pPr>
              <w:spacing w:line="300" w:lineRule="exact"/>
              <w:rPr>
                <w:rFonts w:hint="eastAsia"/>
              </w:rPr>
            </w:pPr>
            <w:r>
              <w:rPr>
                <w:rFonts w:hint="eastAsia"/>
              </w:rPr>
              <w:t>4.</w:t>
            </w:r>
            <w:r>
              <w:rPr>
                <w:rFonts w:hint="eastAsia"/>
                <w:lang w:val="en-US" w:eastAsia="zh-CN"/>
              </w:rPr>
              <w:t>掌握提升客户满意度的方法和技巧；</w:t>
            </w:r>
          </w:p>
          <w:p>
            <w:pPr>
              <w:spacing w:line="300" w:lineRule="exact"/>
              <w:rPr>
                <w:rFonts w:hint="eastAsia"/>
                <w:lang w:val="en-US" w:eastAsia="zh-CN"/>
              </w:rPr>
            </w:pPr>
            <w:r>
              <w:rPr>
                <w:rFonts w:hint="eastAsia"/>
                <w:lang w:val="en-US" w:eastAsia="zh-CN"/>
              </w:rPr>
              <w:t>5.能够完成新能源车、二手车的销售；</w:t>
            </w:r>
          </w:p>
          <w:p>
            <w:pPr>
              <w:spacing w:line="300" w:lineRule="exact"/>
              <w:rPr>
                <w:rFonts w:hint="eastAsia"/>
                <w:lang w:val="en-US" w:eastAsia="zh-CN"/>
              </w:rPr>
            </w:pPr>
            <w:r>
              <w:rPr>
                <w:rFonts w:hint="eastAsia"/>
                <w:lang w:val="en-US" w:eastAsia="zh-CN"/>
              </w:rPr>
              <w:t>6.能够进行新媒体宣传及直播销售工作；</w:t>
            </w:r>
          </w:p>
          <w:p>
            <w:pPr>
              <w:pStyle w:val="2"/>
              <w:ind w:left="0" w:leftChars="0" w:firstLine="0" w:firstLineChars="0"/>
              <w:rPr>
                <w:rFonts w:hint="eastAsia" w:ascii="宋体" w:hAnsi="宋体" w:cs="Times New Roman"/>
                <w:szCs w:val="21"/>
                <w:lang w:val="en-US" w:eastAsia="zh-CN"/>
              </w:rPr>
            </w:pPr>
            <w:r>
              <w:rPr>
                <w:rFonts w:hint="eastAsia" w:ascii="宋体" w:hAnsi="宋体" w:cs="Times New Roman"/>
                <w:szCs w:val="21"/>
                <w:lang w:val="en-US" w:eastAsia="zh-CN"/>
              </w:rPr>
              <w:t>7.能够有效管理客户信息和关系；</w:t>
            </w:r>
          </w:p>
          <w:p>
            <w:pPr>
              <w:pStyle w:val="2"/>
              <w:ind w:left="0" w:leftChars="0" w:firstLine="0" w:firstLineChars="0"/>
              <w:rPr>
                <w:rFonts w:hint="default" w:ascii="宋体" w:hAnsi="宋体" w:cs="Times New Roman"/>
                <w:szCs w:val="21"/>
                <w:lang w:val="en-US" w:eastAsia="zh-CN"/>
              </w:rPr>
            </w:pPr>
            <w:r>
              <w:rPr>
                <w:rFonts w:hint="eastAsia" w:ascii="宋体" w:hAnsi="宋体" w:cs="Times New Roman"/>
                <w:szCs w:val="21"/>
                <w:lang w:val="en-US" w:eastAsia="zh-CN"/>
              </w:rPr>
              <w:t>8.</w:t>
            </w:r>
            <w:r>
              <w:rPr>
                <w:rFonts w:hint="eastAsia" w:ascii="宋体" w:hAnsi="宋体" w:eastAsia="宋体" w:cs="Times New Roman"/>
                <w:szCs w:val="21"/>
              </w:rPr>
              <w:t>掌握汽车</w:t>
            </w:r>
            <w:r>
              <w:rPr>
                <w:rFonts w:hint="eastAsia" w:ascii="宋体" w:hAnsi="宋体" w:cs="Times New Roman"/>
                <w:szCs w:val="21"/>
                <w:lang w:val="en-US" w:eastAsia="zh-CN"/>
              </w:rPr>
              <w:t>销售</w:t>
            </w:r>
            <w:r>
              <w:rPr>
                <w:rFonts w:hint="eastAsia" w:ascii="宋体" w:hAnsi="宋体" w:eastAsia="宋体" w:cs="Times New Roman"/>
                <w:szCs w:val="21"/>
              </w:rPr>
              <w:t>服务作业流程及电脑操作，熟练使用企业管理软件。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pPr>
              <w:spacing w:line="300" w:lineRule="exact"/>
              <w:ind w:firstLine="105" w:firstLineChars="5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2</w:t>
            </w:r>
          </w:p>
        </w:tc>
        <w:tc>
          <w:tcPr>
            <w:tcW w:w="1966" w:type="dxa"/>
            <w:vAlign w:val="center"/>
          </w:tcPr>
          <w:p>
            <w:pPr>
              <w:spacing w:line="420" w:lineRule="exact"/>
              <w:jc w:val="center"/>
              <w:rPr>
                <w:rFonts w:hint="eastAsia" w:ascii="宋体" w:hAnsi="宋体" w:eastAsia="宋体" w:cs="Times New Roman"/>
                <w:b/>
                <w:szCs w:val="21"/>
                <w:lang w:val="en-US" w:eastAsia="zh-CN"/>
              </w:rPr>
            </w:pPr>
            <w:r>
              <w:rPr>
                <w:rFonts w:hint="eastAsia" w:ascii="宋体" w:hAnsi="宋体" w:eastAsia="宋体" w:cs="Times New Roman"/>
                <w:b/>
                <w:szCs w:val="21"/>
                <w:lang w:val="en-US" w:eastAsia="zh-CN"/>
              </w:rPr>
              <w:t>汽车售后服务接待</w:t>
            </w:r>
          </w:p>
          <w:p>
            <w:pPr>
              <w:spacing w:line="420" w:lineRule="exact"/>
              <w:jc w:val="center"/>
              <w:rPr>
                <w:rFonts w:hint="eastAsia" w:ascii="宋体" w:hAnsi="宋体" w:eastAsia="宋体" w:cs="Times New Roman"/>
                <w:b/>
                <w:szCs w:val="21"/>
                <w:lang w:val="en-US" w:eastAsia="zh-CN"/>
              </w:rPr>
            </w:pPr>
            <w:r>
              <w:rPr>
                <w:rFonts w:hint="eastAsia" w:ascii="宋体" w:hAnsi="宋体" w:eastAsia="宋体" w:cs="Times New Roman"/>
                <w:b/>
                <w:szCs w:val="21"/>
                <w:lang w:val="en-US" w:eastAsia="zh-CN"/>
              </w:rPr>
              <w:t>（核心岗位）</w:t>
            </w:r>
          </w:p>
        </w:tc>
        <w:tc>
          <w:tcPr>
            <w:tcW w:w="2060" w:type="dxa"/>
            <w:vAlign w:val="center"/>
          </w:tcPr>
          <w:p>
            <w:pPr>
              <w:spacing w:line="300" w:lineRule="exact"/>
              <w:rPr>
                <w:rFonts w:ascii="宋体" w:hAnsi="宋体" w:eastAsia="宋体" w:cs="Times New Roman"/>
                <w:szCs w:val="21"/>
              </w:rPr>
            </w:pPr>
            <w:r>
              <w:rPr>
                <w:rFonts w:hint="eastAsia" w:ascii="宋体" w:hAnsi="宋体" w:eastAsia="宋体" w:cs="Times New Roman"/>
                <w:szCs w:val="21"/>
              </w:rPr>
              <w:t>负责售后服务客户汽车进厂维修保养的接待和基本故障的诊断工作；</w:t>
            </w:r>
          </w:p>
          <w:p>
            <w:pPr>
              <w:spacing w:line="300" w:lineRule="exact"/>
              <w:rPr>
                <w:rFonts w:ascii="宋体" w:hAnsi="宋体" w:eastAsia="宋体" w:cs="Times New Roman"/>
                <w:szCs w:val="21"/>
              </w:rPr>
            </w:pPr>
            <w:r>
              <w:rPr>
                <w:rFonts w:hint="eastAsia" w:ascii="宋体" w:hAnsi="宋体" w:eastAsia="宋体" w:cs="Times New Roman"/>
                <w:szCs w:val="21"/>
              </w:rPr>
              <w:t>与客户保持服务跟踪；</w:t>
            </w:r>
          </w:p>
          <w:p>
            <w:pPr>
              <w:spacing w:line="300" w:lineRule="exact"/>
              <w:rPr>
                <w:rFonts w:hint="eastAsia" w:ascii="宋体" w:hAnsi="宋体" w:eastAsia="宋体" w:cs="Times New Roman"/>
                <w:kern w:val="2"/>
                <w:sz w:val="21"/>
                <w:szCs w:val="21"/>
                <w:lang w:val="en-US" w:eastAsia="zh-CN" w:bidi="ar-SA"/>
              </w:rPr>
            </w:pPr>
            <w:r>
              <w:rPr>
                <w:rFonts w:hint="eastAsia" w:ascii="宋体" w:hAnsi="宋体" w:eastAsia="宋体" w:cs="Times New Roman"/>
                <w:szCs w:val="21"/>
              </w:rPr>
              <w:t>与保险理赔、维修等部门进行沟通联系。</w:t>
            </w:r>
          </w:p>
        </w:tc>
        <w:tc>
          <w:tcPr>
            <w:tcW w:w="4627" w:type="dxa"/>
            <w:vAlign w:val="center"/>
          </w:tcPr>
          <w:p>
            <w:pPr>
              <w:spacing w:line="300" w:lineRule="exact"/>
              <w:rPr>
                <w:rFonts w:ascii="宋体" w:hAnsi="宋体" w:eastAsia="宋体" w:cs="Times New Roman"/>
                <w:szCs w:val="21"/>
              </w:rPr>
            </w:pPr>
            <w:r>
              <w:rPr>
                <w:rFonts w:hint="eastAsia" w:ascii="宋体" w:hAnsi="宋体" w:eastAsia="宋体" w:cs="Times New Roman"/>
                <w:szCs w:val="21"/>
              </w:rPr>
              <w:t>1.有较好的部门组织协调能力，能较好地与部门领导和维修人员进行沟通；</w:t>
            </w:r>
          </w:p>
          <w:p>
            <w:pPr>
              <w:spacing w:line="300" w:lineRule="exact"/>
              <w:rPr>
                <w:rFonts w:ascii="宋体" w:hAnsi="宋体" w:eastAsia="宋体" w:cs="Times New Roman"/>
                <w:szCs w:val="21"/>
              </w:rPr>
            </w:pPr>
            <w:r>
              <w:rPr>
                <w:rFonts w:hint="eastAsia" w:ascii="宋体" w:hAnsi="宋体" w:eastAsia="宋体" w:cs="Times New Roman"/>
                <w:szCs w:val="21"/>
              </w:rPr>
              <w:t xml:space="preserve">2.能够与客户进行有效沟通，准确了解客户需要，正确了解汽车故障现象； </w:t>
            </w:r>
          </w:p>
          <w:p>
            <w:pPr>
              <w:spacing w:line="300" w:lineRule="exact"/>
              <w:rPr>
                <w:rFonts w:ascii="宋体" w:hAnsi="宋体" w:eastAsia="宋体" w:cs="Times New Roman"/>
                <w:szCs w:val="21"/>
              </w:rPr>
            </w:pPr>
            <w:r>
              <w:rPr>
                <w:rFonts w:hint="eastAsia" w:ascii="宋体" w:hAnsi="宋体" w:eastAsia="宋体" w:cs="Times New Roman"/>
                <w:szCs w:val="21"/>
              </w:rPr>
              <w:t xml:space="preserve">3.熟悉汽车构造，掌握汽车维修诊断能力，能够对车辆故障做初步的分析判断，正确填写报修通知单，出具接车单； </w:t>
            </w:r>
          </w:p>
          <w:p>
            <w:pPr>
              <w:spacing w:line="300" w:lineRule="exact"/>
              <w:rPr>
                <w:rFonts w:hint="eastAsia" w:ascii="宋体" w:hAnsi="宋体" w:eastAsia="宋体" w:cs="Times New Roman"/>
                <w:kern w:val="2"/>
                <w:sz w:val="21"/>
                <w:szCs w:val="21"/>
                <w:lang w:val="en-US" w:eastAsia="zh-CN" w:bidi="ar-SA"/>
              </w:rPr>
            </w:pPr>
            <w:r>
              <w:rPr>
                <w:rFonts w:hint="eastAsia" w:ascii="宋体" w:hAnsi="宋体" w:eastAsia="宋体" w:cs="Times New Roman"/>
                <w:szCs w:val="21"/>
              </w:rPr>
              <w:t>4.掌握汽车售后服务作业流程及电脑操作，熟练使用维修企业管理软件。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pPr>
              <w:spacing w:line="300" w:lineRule="exact"/>
              <w:ind w:firstLine="105" w:firstLineChars="5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3</w:t>
            </w:r>
          </w:p>
        </w:tc>
        <w:tc>
          <w:tcPr>
            <w:tcW w:w="1966" w:type="dxa"/>
            <w:vAlign w:val="center"/>
          </w:tcPr>
          <w:p>
            <w:pPr>
              <w:spacing w:line="420" w:lineRule="exact"/>
              <w:jc w:val="center"/>
              <w:rPr>
                <w:rFonts w:hint="eastAsia" w:ascii="宋体" w:hAnsi="宋体" w:eastAsia="宋体" w:cs="Times New Roman"/>
                <w:b/>
                <w:szCs w:val="21"/>
                <w:lang w:val="en-US" w:eastAsia="zh-CN"/>
              </w:rPr>
            </w:pPr>
            <w:r>
              <w:rPr>
                <w:rFonts w:hint="eastAsia" w:ascii="宋体" w:hAnsi="宋体" w:eastAsia="宋体" w:cs="Times New Roman"/>
                <w:b/>
                <w:szCs w:val="21"/>
                <w:lang w:val="en-US" w:eastAsia="zh-CN"/>
              </w:rPr>
              <w:t>汽车保险、定损、理赔员</w:t>
            </w:r>
          </w:p>
          <w:p>
            <w:pPr>
              <w:spacing w:line="420" w:lineRule="exact"/>
              <w:jc w:val="center"/>
              <w:rPr>
                <w:rFonts w:hint="default" w:ascii="宋体" w:hAnsi="宋体" w:eastAsia="宋体" w:cs="Times New Roman"/>
                <w:b/>
                <w:szCs w:val="21"/>
                <w:lang w:val="en-US" w:eastAsia="zh-CN"/>
              </w:rPr>
            </w:pPr>
            <w:r>
              <w:rPr>
                <w:rFonts w:hint="eastAsia" w:ascii="宋体" w:hAnsi="宋体" w:eastAsia="宋体" w:cs="Times New Roman"/>
                <w:b/>
                <w:szCs w:val="21"/>
                <w:lang w:val="en-US" w:eastAsia="zh-CN"/>
              </w:rPr>
              <w:t>（核心岗位）</w:t>
            </w:r>
          </w:p>
        </w:tc>
        <w:tc>
          <w:tcPr>
            <w:tcW w:w="2060" w:type="dxa"/>
            <w:vAlign w:val="center"/>
          </w:tcPr>
          <w:p>
            <w:pPr>
              <w:spacing w:line="300" w:lineRule="exact"/>
              <w:rPr>
                <w:rFonts w:hint="default" w:ascii="宋体" w:hAnsi="宋体" w:eastAsia="宋体" w:cs="Times New Roman"/>
                <w:szCs w:val="21"/>
                <w:lang w:val="en-US" w:eastAsia="zh-CN"/>
              </w:rPr>
            </w:pPr>
            <w:r>
              <w:rPr>
                <w:rFonts w:hint="eastAsia" w:ascii="宋体" w:hAnsi="宋体" w:eastAsia="宋体" w:cs="Times New Roman"/>
                <w:szCs w:val="21"/>
                <w:lang w:val="en-US" w:eastAsia="zh-CN"/>
              </w:rPr>
              <w:t>负责事故的结案、调度、查勘、定损、理赔、结算等工作</w:t>
            </w:r>
          </w:p>
        </w:tc>
        <w:tc>
          <w:tcPr>
            <w:tcW w:w="4627" w:type="dxa"/>
            <w:vAlign w:val="center"/>
          </w:tcPr>
          <w:p>
            <w:pPr>
              <w:numPr>
                <w:numId w:val="0"/>
              </w:numPr>
              <w:spacing w:line="300" w:lineRule="exact"/>
              <w:rPr>
                <w:rFonts w:hint="eastAsia"/>
              </w:rPr>
            </w:pPr>
            <w:r>
              <w:rPr>
                <w:rFonts w:hint="eastAsia"/>
                <w:lang w:val="en-US" w:eastAsia="zh-CN"/>
              </w:rPr>
              <w:t>1.</w:t>
            </w:r>
            <w:r>
              <w:rPr>
                <w:rFonts w:hint="eastAsia"/>
              </w:rPr>
              <w:t>有较好的部门组织协调能力，能较好地与部门领导和维修人员进行沟通；</w:t>
            </w:r>
          </w:p>
          <w:p>
            <w:pPr>
              <w:pStyle w:val="2"/>
              <w:numPr>
                <w:numId w:val="0"/>
              </w:numPr>
              <w:rPr>
                <w:rFonts w:hint="default" w:asciiTheme="minorAscii" w:hAnsiTheme="minorAscii" w:eastAsiaTheme="minorEastAsia" w:cstheme="minorBidi"/>
                <w:kern w:val="2"/>
                <w:sz w:val="21"/>
                <w:szCs w:val="24"/>
                <w:lang w:val="en-US" w:eastAsia="zh-CN" w:bidi="ar-SA"/>
              </w:rPr>
            </w:pPr>
            <w:r>
              <w:rPr>
                <w:rFonts w:hint="eastAsia" w:asciiTheme="minorAscii" w:hAnsiTheme="minorAscii" w:eastAsiaTheme="minorEastAsia" w:cstheme="minorBidi"/>
                <w:kern w:val="2"/>
                <w:sz w:val="21"/>
                <w:szCs w:val="24"/>
                <w:lang w:val="en-US" w:eastAsia="zh-CN" w:bidi="ar-SA"/>
              </w:rPr>
              <w:t>2.掌握交通事故的责任认定方法和处理流程</w:t>
            </w:r>
          </w:p>
          <w:p>
            <w:pPr>
              <w:numPr>
                <w:numId w:val="0"/>
              </w:numPr>
              <w:spacing w:line="300" w:lineRule="exact"/>
              <w:rPr>
                <w:rFonts w:hint="eastAsia"/>
              </w:rPr>
            </w:pPr>
            <w:r>
              <w:rPr>
                <w:rFonts w:hint="eastAsia" w:asciiTheme="minorAscii" w:hAnsiTheme="minorAscii" w:eastAsiaTheme="minorEastAsia" w:cstheme="minorBidi"/>
                <w:kern w:val="2"/>
                <w:sz w:val="21"/>
                <w:szCs w:val="24"/>
                <w:lang w:val="en-US" w:eastAsia="zh-CN" w:bidi="ar-SA"/>
              </w:rPr>
              <w:t>2.能够把握汽</w:t>
            </w:r>
            <w:r>
              <w:rPr>
                <w:rFonts w:hint="eastAsia"/>
              </w:rPr>
              <w:t>车</w:t>
            </w:r>
            <w:r>
              <w:t>保险</w:t>
            </w:r>
            <w:r>
              <w:rPr>
                <w:rFonts w:hint="eastAsia"/>
              </w:rPr>
              <w:t>投保的原则与险种的选择；</w:t>
            </w:r>
          </w:p>
          <w:p>
            <w:pPr>
              <w:numPr>
                <w:ilvl w:val="0"/>
                <w:numId w:val="0"/>
              </w:numPr>
              <w:spacing w:line="300" w:lineRule="exact"/>
              <w:rPr>
                <w:rFonts w:hint="eastAsia"/>
              </w:rPr>
            </w:pPr>
            <w:r>
              <w:rPr>
                <w:rFonts w:hint="eastAsia"/>
                <w:lang w:val="en-US" w:eastAsia="zh-CN"/>
              </w:rPr>
              <w:t>3.</w:t>
            </w:r>
            <w:r>
              <w:rPr>
                <w:rFonts w:hint="eastAsia"/>
              </w:rPr>
              <w:t>能够完成汽车保险的接报案和立案工作；</w:t>
            </w:r>
          </w:p>
          <w:p>
            <w:pPr>
              <w:numPr>
                <w:ilvl w:val="0"/>
                <w:numId w:val="0"/>
              </w:numPr>
              <w:spacing w:line="300" w:lineRule="exact"/>
              <w:rPr>
                <w:rFonts w:hint="eastAsia"/>
              </w:rPr>
            </w:pPr>
            <w:r>
              <w:rPr>
                <w:rFonts w:hint="eastAsia"/>
                <w:lang w:val="en-US" w:eastAsia="zh-CN"/>
              </w:rPr>
              <w:t>4.</w:t>
            </w:r>
            <w:r>
              <w:rPr>
                <w:rFonts w:hint="eastAsia"/>
              </w:rPr>
              <w:t>能够进行汽车保险的定损核损工作；</w:t>
            </w:r>
          </w:p>
          <w:p>
            <w:pPr>
              <w:numPr>
                <w:ilvl w:val="0"/>
                <w:numId w:val="0"/>
              </w:numPr>
              <w:spacing w:line="300" w:lineRule="exact"/>
              <w:rPr>
                <w:rFonts w:hint="eastAsia"/>
              </w:rPr>
            </w:pPr>
            <w:r>
              <w:rPr>
                <w:rFonts w:hint="eastAsia"/>
                <w:lang w:val="en-US" w:eastAsia="zh-CN"/>
              </w:rPr>
              <w:t>5.</w:t>
            </w:r>
            <w:r>
              <w:rPr>
                <w:rFonts w:hint="eastAsia"/>
              </w:rPr>
              <w:t>能够正确进行汽车保险的赔款理算；</w:t>
            </w:r>
          </w:p>
          <w:p>
            <w:pPr>
              <w:pStyle w:val="2"/>
              <w:ind w:left="0" w:leftChars="0" w:firstLine="0" w:firstLineChars="0"/>
              <w:rPr>
                <w:rFonts w:hint="eastAsia" w:eastAsiaTheme="minorEastAsia" w:cstheme="minorBidi"/>
                <w:kern w:val="2"/>
                <w:sz w:val="21"/>
                <w:szCs w:val="24"/>
                <w:lang w:val="en-US" w:eastAsia="zh-CN" w:bidi="ar-SA"/>
              </w:rPr>
            </w:pPr>
            <w:r>
              <w:rPr>
                <w:rFonts w:hint="eastAsia"/>
                <w:lang w:val="en-US" w:eastAsia="zh-CN"/>
              </w:rPr>
              <w:t>6.</w:t>
            </w:r>
            <w:r>
              <w:rPr>
                <w:rFonts w:hint="eastAsia" w:asciiTheme="minorAscii" w:hAnsiTheme="minorAscii" w:eastAsiaTheme="minorEastAsia" w:cstheme="minorBidi"/>
                <w:kern w:val="2"/>
                <w:sz w:val="21"/>
                <w:szCs w:val="24"/>
                <w:lang w:val="en-US" w:eastAsia="zh-CN" w:bidi="ar-SA"/>
              </w:rPr>
              <w:t>能够完成汽车保险的核赔工作和结案处理工作</w:t>
            </w:r>
            <w:r>
              <w:rPr>
                <w:rFonts w:hint="eastAsia" w:eastAsiaTheme="minorEastAsia" w:cstheme="minorBidi"/>
                <w:kern w:val="2"/>
                <w:sz w:val="21"/>
                <w:szCs w:val="24"/>
                <w:lang w:val="en-US" w:eastAsia="zh-CN" w:bidi="ar-SA"/>
              </w:rPr>
              <w:t>。</w:t>
            </w:r>
          </w:p>
          <w:p>
            <w:pPr>
              <w:pStyle w:val="2"/>
              <w:ind w:left="0" w:leftChars="0" w:firstLine="0" w:firstLineChars="0"/>
              <w:rPr>
                <w:rFonts w:hint="default" w:asciiTheme="minorAscii" w:hAnsiTheme="minorAscii" w:eastAsiaTheme="minorEastAsia" w:cstheme="minorBidi"/>
                <w:kern w:val="2"/>
                <w:sz w:val="21"/>
                <w:szCs w:val="24"/>
                <w:lang w:val="en-US" w:eastAsia="zh-CN" w:bidi="ar-SA"/>
              </w:rPr>
            </w:pPr>
            <w:r>
              <w:rPr>
                <w:rFonts w:hint="eastAsia" w:eastAsiaTheme="minorEastAsia" w:cstheme="minorBidi"/>
                <w:kern w:val="2"/>
                <w:sz w:val="21"/>
                <w:szCs w:val="24"/>
                <w:lang w:val="en-US" w:eastAsia="zh-CN" w:bidi="ar-SA"/>
              </w:rPr>
              <w:t>7</w:t>
            </w:r>
            <w:r>
              <w:rPr>
                <w:rFonts w:hint="eastAsia" w:asciiTheme="minorAscii" w:hAnsiTheme="minorAscii" w:eastAsiaTheme="minorEastAsia" w:cstheme="minorBidi"/>
                <w:kern w:val="2"/>
                <w:sz w:val="21"/>
                <w:szCs w:val="24"/>
                <w:lang w:val="en-US" w:eastAsia="zh-CN" w:bidi="ar-SA"/>
              </w:rPr>
              <w:t>.</w:t>
            </w:r>
            <w:r>
              <w:rPr>
                <w:rFonts w:hint="eastAsia" w:eastAsiaTheme="minorEastAsia" w:cstheme="minorBidi"/>
                <w:kern w:val="2"/>
                <w:sz w:val="21"/>
                <w:szCs w:val="24"/>
                <w:lang w:val="en-US" w:eastAsia="zh-CN" w:bidi="ar-SA"/>
              </w:rPr>
              <w:t>具有分析问题，解决问题能力，以及</w:t>
            </w:r>
            <w:r>
              <w:rPr>
                <w:rFonts w:hint="eastAsia" w:asciiTheme="minorAscii" w:hAnsiTheme="minorAscii" w:eastAsiaTheme="minorEastAsia" w:cstheme="minorBidi"/>
                <w:kern w:val="2"/>
                <w:sz w:val="21"/>
                <w:szCs w:val="24"/>
                <w:lang w:val="en-US" w:eastAsia="zh-CN" w:bidi="ar-SA"/>
              </w:rPr>
              <w:t>严谨认真细致的工作态度和诚实守信的品格；</w:t>
            </w:r>
          </w:p>
          <w:p>
            <w:pPr>
              <w:pStyle w:val="2"/>
              <w:ind w:left="0" w:leftChars="0" w:firstLine="0" w:firstLineChars="0"/>
              <w:rPr>
                <w:rFonts w:hint="default" w:eastAsiaTheme="minorEastAsia" w:cstheme="minorBidi"/>
                <w:kern w:val="2"/>
                <w:sz w:val="21"/>
                <w:szCs w:val="24"/>
                <w:lang w:val="en-US" w:eastAsia="zh-CN" w:bidi="ar-SA"/>
              </w:rPr>
            </w:pPr>
            <w:r>
              <w:rPr>
                <w:rFonts w:hint="eastAsia" w:eastAsiaTheme="minorEastAsia" w:cstheme="minorBidi"/>
                <w:kern w:val="2"/>
                <w:sz w:val="21"/>
                <w:szCs w:val="24"/>
                <w:lang w:val="en-US" w:eastAsia="zh-CN" w:bidi="ar-SA"/>
              </w:rPr>
              <w:t>8.</w:t>
            </w:r>
            <w:r>
              <w:rPr>
                <w:rFonts w:hint="eastAsia" w:ascii="宋体" w:hAnsi="宋体" w:eastAsia="宋体" w:cs="Times New Roman"/>
                <w:szCs w:val="21"/>
              </w:rPr>
              <w:t>掌握汽车</w:t>
            </w:r>
            <w:r>
              <w:rPr>
                <w:rFonts w:hint="eastAsia" w:ascii="宋体" w:hAnsi="宋体" w:cs="Times New Roman"/>
                <w:szCs w:val="21"/>
                <w:lang w:val="en-US" w:eastAsia="zh-CN"/>
              </w:rPr>
              <w:t>保险理赔</w:t>
            </w:r>
            <w:r>
              <w:rPr>
                <w:rFonts w:hint="eastAsia" w:ascii="宋体" w:hAnsi="宋体" w:eastAsia="宋体" w:cs="Times New Roman"/>
                <w:szCs w:val="21"/>
              </w:rPr>
              <w:t>服务作业流程及电脑操作，熟练使用维修企业管理软件。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pPr>
              <w:spacing w:line="300" w:lineRule="exact"/>
              <w:ind w:firstLine="105" w:firstLineChars="5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4</w:t>
            </w:r>
          </w:p>
        </w:tc>
        <w:tc>
          <w:tcPr>
            <w:tcW w:w="1966" w:type="dxa"/>
            <w:vAlign w:val="center"/>
          </w:tcPr>
          <w:p>
            <w:pPr>
              <w:pStyle w:val="2"/>
              <w:ind w:left="0" w:leftChars="0" w:firstLine="0" w:firstLineChars="0"/>
              <w:rPr>
                <w:rFonts w:hint="eastAsia" w:ascii="宋体" w:hAnsi="宋体" w:eastAsia="宋体" w:cs="Times New Roman"/>
                <w:b/>
                <w:kern w:val="2"/>
                <w:sz w:val="21"/>
                <w:szCs w:val="21"/>
                <w:lang w:val="en-US" w:eastAsia="zh-CN" w:bidi="ar-SA"/>
              </w:rPr>
            </w:pPr>
            <w:r>
              <w:rPr>
                <w:rFonts w:hint="eastAsia" w:ascii="宋体" w:hAnsi="宋体" w:eastAsia="宋体" w:cs="Times New Roman"/>
                <w:b/>
                <w:kern w:val="2"/>
                <w:sz w:val="21"/>
                <w:szCs w:val="21"/>
                <w:lang w:val="en-US" w:eastAsia="zh-CN" w:bidi="ar-SA"/>
              </w:rPr>
              <w:t>二手车鉴定与评估</w:t>
            </w:r>
          </w:p>
          <w:p>
            <w:pPr>
              <w:pStyle w:val="2"/>
              <w:ind w:left="0" w:leftChars="0" w:firstLine="0" w:firstLineChars="0"/>
              <w:rPr>
                <w:rFonts w:hint="default" w:ascii="宋体" w:hAnsi="宋体" w:eastAsia="宋体" w:cs="Times New Roman"/>
                <w:b/>
                <w:kern w:val="2"/>
                <w:sz w:val="21"/>
                <w:szCs w:val="21"/>
                <w:lang w:val="en-US" w:eastAsia="zh-CN" w:bidi="ar-SA"/>
              </w:rPr>
            </w:pPr>
            <w:r>
              <w:rPr>
                <w:rFonts w:hint="eastAsia" w:ascii="宋体" w:hAnsi="宋体" w:eastAsia="宋体" w:cs="Times New Roman"/>
                <w:b/>
                <w:kern w:val="2"/>
                <w:sz w:val="21"/>
                <w:szCs w:val="21"/>
                <w:lang w:val="en-US" w:eastAsia="zh-CN" w:bidi="ar-SA"/>
              </w:rPr>
              <w:t>（相关岗位）</w:t>
            </w:r>
          </w:p>
        </w:tc>
        <w:tc>
          <w:tcPr>
            <w:tcW w:w="2060" w:type="dxa"/>
            <w:vAlign w:val="center"/>
          </w:tcPr>
          <w:p>
            <w:pPr>
              <w:spacing w:line="300" w:lineRule="exact"/>
              <w:rPr>
                <w:rFonts w:hint="eastAsia" w:ascii="宋体" w:hAnsi="宋体" w:eastAsia="宋体" w:cs="Times New Roman"/>
                <w:szCs w:val="21"/>
                <w:lang w:eastAsia="zh-CN"/>
              </w:rPr>
            </w:pPr>
            <w:r>
              <w:rPr>
                <w:rFonts w:hint="eastAsia" w:ascii="宋体" w:hAnsi="宋体" w:eastAsia="宋体" w:cs="Times New Roman"/>
                <w:szCs w:val="21"/>
                <w:lang w:val="en-US" w:eastAsia="zh-CN"/>
              </w:rPr>
              <w:t>负责</w:t>
            </w:r>
            <w:r>
              <w:rPr>
                <w:rFonts w:hint="eastAsia" w:ascii="宋体" w:hAnsi="宋体" w:eastAsia="宋体" w:cs="Times New Roman"/>
                <w:szCs w:val="21"/>
              </w:rPr>
              <w:t>利用相关标准和资料、工具和检测设备对二手车技术状况进行鉴定，</w:t>
            </w:r>
            <w:r>
              <w:rPr>
                <w:rFonts w:hint="eastAsia" w:ascii="宋体" w:hAnsi="宋体" w:eastAsia="宋体" w:cs="Times New Roman"/>
                <w:szCs w:val="21"/>
                <w:lang w:val="en-US" w:eastAsia="zh-CN"/>
              </w:rPr>
              <w:t>并</w:t>
            </w:r>
            <w:r>
              <w:rPr>
                <w:rFonts w:hint="eastAsia" w:ascii="宋体" w:hAnsi="宋体" w:eastAsia="宋体" w:cs="Times New Roman"/>
                <w:szCs w:val="21"/>
              </w:rPr>
              <w:t>选择合适的评估方法对二手车进行价值评估，撰写鉴定估价报告</w:t>
            </w:r>
            <w:r>
              <w:rPr>
                <w:rFonts w:hint="eastAsia" w:ascii="宋体" w:hAnsi="宋体" w:eastAsia="宋体" w:cs="Times New Roman"/>
                <w:szCs w:val="21"/>
                <w:lang w:val="en-US" w:eastAsia="zh-CN"/>
              </w:rPr>
              <w:t>工作</w:t>
            </w:r>
          </w:p>
        </w:tc>
        <w:tc>
          <w:tcPr>
            <w:tcW w:w="4627" w:type="dxa"/>
            <w:vAlign w:val="center"/>
          </w:tcPr>
          <w:p>
            <w:pPr>
              <w:pStyle w:val="2"/>
              <w:ind w:left="0" w:leftChars="0" w:firstLine="0" w:firstLineChars="0"/>
              <w:rPr>
                <w:rFonts w:hint="eastAsia" w:eastAsiaTheme="minorEastAsia" w:cstheme="minorBidi"/>
                <w:kern w:val="2"/>
                <w:sz w:val="21"/>
                <w:szCs w:val="24"/>
                <w:lang w:val="en-US" w:eastAsia="zh-CN" w:bidi="ar-SA"/>
              </w:rPr>
            </w:pPr>
            <w:r>
              <w:rPr>
                <w:rFonts w:hint="eastAsia" w:eastAsiaTheme="minorEastAsia" w:cstheme="minorBidi"/>
                <w:kern w:val="2"/>
                <w:sz w:val="21"/>
                <w:szCs w:val="24"/>
                <w:lang w:val="en-US" w:eastAsia="zh-CN" w:bidi="ar-SA"/>
              </w:rPr>
              <w:t>1.具备二手车技术状况进行鉴定、估价、评估报告撰写、交易的专业知识和能力；</w:t>
            </w:r>
          </w:p>
          <w:p>
            <w:pPr>
              <w:pStyle w:val="2"/>
              <w:ind w:left="0" w:leftChars="0" w:firstLine="0" w:firstLineChars="0"/>
              <w:rPr>
                <w:rFonts w:hint="eastAsia" w:eastAsiaTheme="minorEastAsia" w:cstheme="minorBidi"/>
                <w:kern w:val="2"/>
                <w:sz w:val="21"/>
                <w:szCs w:val="24"/>
                <w:lang w:val="en-US" w:eastAsia="zh-CN" w:bidi="ar-SA"/>
              </w:rPr>
            </w:pPr>
            <w:r>
              <w:rPr>
                <w:rFonts w:hint="eastAsia" w:eastAsiaTheme="minorEastAsia" w:cstheme="minorBidi"/>
                <w:kern w:val="2"/>
                <w:sz w:val="21"/>
                <w:szCs w:val="24"/>
                <w:lang w:val="en-US" w:eastAsia="zh-CN" w:bidi="ar-SA"/>
              </w:rPr>
              <w:t>2.熟悉二手车鉴定评估的作业流程；</w:t>
            </w:r>
          </w:p>
          <w:p>
            <w:pPr>
              <w:pStyle w:val="2"/>
              <w:ind w:left="0" w:leftChars="0" w:firstLine="0" w:firstLineChars="0"/>
              <w:rPr>
                <w:rFonts w:hint="eastAsia" w:eastAsiaTheme="minorEastAsia" w:cstheme="minorBidi"/>
                <w:kern w:val="2"/>
                <w:sz w:val="21"/>
                <w:szCs w:val="24"/>
                <w:lang w:val="en-US" w:eastAsia="zh-CN" w:bidi="ar-SA"/>
              </w:rPr>
            </w:pPr>
            <w:r>
              <w:rPr>
                <w:rFonts w:hint="eastAsia" w:eastAsiaTheme="minorEastAsia" w:cstheme="minorBidi"/>
                <w:kern w:val="2"/>
                <w:sz w:val="21"/>
                <w:szCs w:val="24"/>
                <w:lang w:val="en-US" w:eastAsia="zh-CN" w:bidi="ar-SA"/>
              </w:rPr>
              <w:t>3.熟悉事故车的定义，掌握事故车判别的方法；</w:t>
            </w:r>
          </w:p>
          <w:p>
            <w:pPr>
              <w:pStyle w:val="2"/>
              <w:ind w:left="0" w:leftChars="0" w:firstLine="0" w:firstLineChars="0"/>
              <w:rPr>
                <w:rFonts w:hint="eastAsia" w:eastAsiaTheme="minorEastAsia" w:cstheme="minorBidi"/>
                <w:kern w:val="2"/>
                <w:sz w:val="21"/>
                <w:szCs w:val="24"/>
                <w:lang w:val="en-US" w:eastAsia="zh-CN" w:bidi="ar-SA"/>
              </w:rPr>
            </w:pPr>
            <w:r>
              <w:rPr>
                <w:rFonts w:hint="eastAsia" w:eastAsiaTheme="minorEastAsia" w:cstheme="minorBidi"/>
                <w:kern w:val="2"/>
                <w:sz w:val="21"/>
                <w:szCs w:val="24"/>
                <w:lang w:val="en-US" w:eastAsia="zh-CN" w:bidi="ar-SA"/>
              </w:rPr>
              <w:t>4.掌握静态检查、动态检查的定义、目的、流程和方法；</w:t>
            </w:r>
          </w:p>
          <w:p>
            <w:pPr>
              <w:pStyle w:val="2"/>
              <w:ind w:left="0" w:leftChars="0" w:firstLine="0" w:firstLineChars="0"/>
              <w:rPr>
                <w:rFonts w:hint="eastAsia" w:eastAsiaTheme="minorEastAsia" w:cstheme="minorBidi"/>
                <w:kern w:val="2"/>
                <w:sz w:val="21"/>
                <w:szCs w:val="24"/>
                <w:lang w:val="en-US" w:eastAsia="zh-CN" w:bidi="ar-SA"/>
              </w:rPr>
            </w:pPr>
            <w:r>
              <w:rPr>
                <w:rFonts w:hint="eastAsia" w:eastAsiaTheme="minorEastAsia" w:cstheme="minorBidi"/>
                <w:kern w:val="2"/>
                <w:sz w:val="21"/>
                <w:szCs w:val="24"/>
                <w:lang w:val="en-US" w:eastAsia="zh-CN" w:bidi="ar-SA"/>
              </w:rPr>
              <w:t>5.掌握现行市价法、重置成本、收益现值法定义、原理与计算方法；</w:t>
            </w:r>
          </w:p>
          <w:p>
            <w:pPr>
              <w:pStyle w:val="2"/>
              <w:ind w:left="0" w:leftChars="0" w:firstLine="0" w:firstLineChars="0"/>
              <w:rPr>
                <w:rFonts w:hint="default"/>
                <w:lang w:val="en-US" w:eastAsia="zh-CN"/>
              </w:rPr>
            </w:pPr>
            <w:r>
              <w:rPr>
                <w:rFonts w:hint="eastAsia" w:eastAsiaTheme="minorEastAsia" w:cstheme="minorBidi"/>
                <w:kern w:val="2"/>
                <w:sz w:val="21"/>
                <w:szCs w:val="24"/>
                <w:lang w:val="en-US" w:eastAsia="zh-CN" w:bidi="ar-SA"/>
              </w:rPr>
              <w:t>6.熟悉二手车鉴定评估报告的作用和内容；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pPr>
              <w:spacing w:line="300" w:lineRule="exact"/>
              <w:ind w:firstLine="105" w:firstLineChars="50"/>
              <w:rPr>
                <w:rFonts w:hint="eastAsia" w:ascii="宋体" w:hAnsi="宋体" w:eastAsia="宋体" w:cs="Times New Roman"/>
                <w:szCs w:val="21"/>
                <w:lang w:eastAsia="zh-CN"/>
              </w:rPr>
            </w:pPr>
            <w:r>
              <w:rPr>
                <w:rFonts w:hint="eastAsia" w:ascii="宋体" w:hAnsi="宋体" w:eastAsia="宋体" w:cs="Times New Roman"/>
                <w:szCs w:val="21"/>
                <w:lang w:val="en-US" w:eastAsia="zh-CN"/>
              </w:rPr>
              <w:t>5</w:t>
            </w:r>
          </w:p>
        </w:tc>
        <w:tc>
          <w:tcPr>
            <w:tcW w:w="1966" w:type="dxa"/>
            <w:vAlign w:val="center"/>
          </w:tcPr>
          <w:p>
            <w:pPr>
              <w:spacing w:line="420" w:lineRule="exact"/>
              <w:jc w:val="center"/>
              <w:rPr>
                <w:rFonts w:hint="eastAsia" w:ascii="宋体" w:hAnsi="宋体" w:eastAsia="宋体" w:cs="Times New Roman"/>
                <w:b/>
                <w:kern w:val="2"/>
                <w:sz w:val="21"/>
                <w:szCs w:val="21"/>
                <w:lang w:val="en-US" w:eastAsia="zh-CN" w:bidi="ar-SA"/>
              </w:rPr>
            </w:pPr>
            <w:r>
              <w:rPr>
                <w:rFonts w:hint="eastAsia" w:ascii="宋体" w:hAnsi="宋体" w:eastAsia="宋体" w:cs="Times New Roman"/>
                <w:b/>
                <w:kern w:val="2"/>
                <w:sz w:val="21"/>
                <w:szCs w:val="21"/>
                <w:lang w:val="en-US" w:eastAsia="zh-CN" w:bidi="ar-SA"/>
              </w:rPr>
              <w:t>汽车机电维修（相关岗位）</w:t>
            </w:r>
          </w:p>
        </w:tc>
        <w:tc>
          <w:tcPr>
            <w:tcW w:w="2060" w:type="dxa"/>
            <w:vAlign w:val="center"/>
          </w:tcPr>
          <w:p>
            <w:pPr>
              <w:spacing w:line="300" w:lineRule="exact"/>
              <w:rPr>
                <w:rFonts w:ascii="宋体" w:hAnsi="宋体" w:eastAsia="宋体" w:cs="Times New Roman"/>
                <w:szCs w:val="21"/>
              </w:rPr>
            </w:pPr>
            <w:r>
              <w:rPr>
                <w:rFonts w:hint="eastAsia" w:ascii="宋体" w:hAnsi="宋体" w:eastAsia="宋体" w:cs="Times New Roman"/>
                <w:szCs w:val="21"/>
              </w:rPr>
              <w:t>负责组织、实施汽车的各级别维护保养；</w:t>
            </w:r>
          </w:p>
          <w:p>
            <w:pPr>
              <w:spacing w:line="300" w:lineRule="exact"/>
              <w:rPr>
                <w:rFonts w:ascii="宋体" w:hAnsi="宋体" w:eastAsia="宋体" w:cs="Times New Roman"/>
                <w:szCs w:val="21"/>
              </w:rPr>
            </w:pPr>
            <w:r>
              <w:rPr>
                <w:rFonts w:hint="eastAsia" w:ascii="宋体" w:hAnsi="宋体" w:eastAsia="宋体" w:cs="Times New Roman"/>
                <w:szCs w:val="21"/>
              </w:rPr>
              <w:t>组织、实施对故障车辆进行检测、维修；</w:t>
            </w:r>
          </w:p>
          <w:p>
            <w:pPr>
              <w:spacing w:line="300" w:lineRule="exact"/>
              <w:rPr>
                <w:rFonts w:ascii="宋体" w:hAnsi="宋体" w:eastAsia="宋体" w:cs="Times New Roman"/>
                <w:szCs w:val="21"/>
              </w:rPr>
            </w:pPr>
            <w:r>
              <w:rPr>
                <w:rFonts w:hint="eastAsia" w:ascii="宋体" w:hAnsi="宋体" w:eastAsia="宋体" w:cs="Times New Roman"/>
                <w:szCs w:val="21"/>
              </w:rPr>
              <w:t>与相关人员进行业务沟通和技术交流。</w:t>
            </w:r>
          </w:p>
        </w:tc>
        <w:tc>
          <w:tcPr>
            <w:tcW w:w="4627" w:type="dxa"/>
            <w:vAlign w:val="center"/>
          </w:tcPr>
          <w:p>
            <w:pPr>
              <w:spacing w:line="300" w:lineRule="exact"/>
              <w:rPr>
                <w:rFonts w:ascii="宋体" w:hAnsi="宋体" w:eastAsia="宋体" w:cs="Times New Roman"/>
                <w:szCs w:val="21"/>
              </w:rPr>
            </w:pPr>
            <w:r>
              <w:rPr>
                <w:rFonts w:hint="eastAsia" w:ascii="宋体" w:hAnsi="宋体" w:eastAsia="宋体" w:cs="Times New Roman"/>
                <w:szCs w:val="21"/>
              </w:rPr>
              <w:t>1.有良好沟通能力；</w:t>
            </w:r>
          </w:p>
          <w:p>
            <w:pPr>
              <w:spacing w:line="300" w:lineRule="exact"/>
              <w:rPr>
                <w:rFonts w:ascii="宋体" w:hAnsi="宋体" w:eastAsia="宋体" w:cs="Times New Roman"/>
                <w:szCs w:val="21"/>
              </w:rPr>
            </w:pPr>
            <w:r>
              <w:rPr>
                <w:rFonts w:hint="eastAsia" w:ascii="宋体" w:hAnsi="宋体" w:eastAsia="宋体" w:cs="Times New Roman"/>
                <w:szCs w:val="21"/>
              </w:rPr>
              <w:t>2.精通汽车各系统总成结构、组成、工作原理，并进行拆装、检测和维修；</w:t>
            </w:r>
          </w:p>
          <w:p>
            <w:pPr>
              <w:spacing w:line="300" w:lineRule="exact"/>
              <w:rPr>
                <w:rFonts w:ascii="宋体" w:hAnsi="宋体" w:eastAsia="宋体" w:cs="Times New Roman"/>
                <w:szCs w:val="21"/>
              </w:rPr>
            </w:pPr>
            <w:r>
              <w:rPr>
                <w:rFonts w:hint="eastAsia" w:ascii="宋体" w:hAnsi="宋体" w:eastAsia="宋体" w:cs="Times New Roman"/>
                <w:szCs w:val="21"/>
              </w:rPr>
              <w:t>3.精通汽车电子控制系统的检测和维修；</w:t>
            </w:r>
          </w:p>
          <w:p>
            <w:pPr>
              <w:spacing w:line="300" w:lineRule="exact"/>
              <w:rPr>
                <w:rFonts w:ascii="宋体" w:hAnsi="宋体" w:eastAsia="宋体" w:cs="Times New Roman"/>
                <w:szCs w:val="21"/>
              </w:rPr>
            </w:pPr>
            <w:r>
              <w:rPr>
                <w:rFonts w:hint="eastAsia" w:ascii="宋体" w:hAnsi="宋体" w:eastAsia="宋体" w:cs="Times New Roman"/>
                <w:szCs w:val="21"/>
              </w:rPr>
              <w:t>4.熟悉汽车维修</w:t>
            </w:r>
            <w:r>
              <w:rPr>
                <w:rFonts w:hint="eastAsia" w:ascii="宋体" w:hAnsi="宋体" w:eastAsia="宋体" w:cs="Times New Roman"/>
                <w:szCs w:val="21"/>
                <w:lang w:eastAsia="zh-CN"/>
              </w:rPr>
              <w:t>、</w:t>
            </w:r>
            <w:r>
              <w:rPr>
                <w:rFonts w:hint="eastAsia" w:ascii="宋体" w:hAnsi="宋体" w:eastAsia="宋体" w:cs="Times New Roman"/>
                <w:szCs w:val="21"/>
                <w:lang w:val="en-US" w:eastAsia="zh-CN"/>
              </w:rPr>
              <w:t>保养</w:t>
            </w:r>
            <w:r>
              <w:rPr>
                <w:rFonts w:hint="eastAsia" w:ascii="宋体" w:hAnsi="宋体" w:eastAsia="宋体" w:cs="Times New Roman"/>
                <w:szCs w:val="21"/>
              </w:rPr>
              <w:t xml:space="preserve">作业流程。 </w:t>
            </w:r>
          </w:p>
        </w:tc>
      </w:tr>
    </w:tbl>
    <w:p>
      <w:pPr>
        <w:pStyle w:val="6"/>
        <w:spacing w:line="360" w:lineRule="auto"/>
        <w:ind w:firstLine="480" w:firstLineChars="200"/>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pPr>
    </w:p>
    <w:p>
      <w:pPr>
        <w:keepNext w:val="0"/>
        <w:keepLines w:val="0"/>
        <w:pageBreakBefore w:val="0"/>
        <w:widowControl w:val="0"/>
        <w:tabs>
          <w:tab w:val="left" w:pos="43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在调研中我们发现，企业比较认可资格证、技能等级证，特别是权威机构颁发的证书（包括技能大赛获奖证书）更能引起企业负责人的重视。因此，在汽车检测与维修技术专业学生考证过程中，学校需要重组课程结构，更新课程内容，通过进一步整合学历教育和职业资格证书中的知识与技能点，加强职业资格证书与学历证书的融合。</w:t>
      </w:r>
    </w:p>
    <w:p>
      <w:pPr>
        <w:pStyle w:val="5"/>
        <w:keepNext/>
        <w:keepLines/>
        <w:pageBreakBefore w:val="0"/>
        <w:widowControl w:val="0"/>
        <w:kinsoku/>
        <w:wordWrap/>
        <w:overflowPunct/>
        <w:topLinePunct w:val="0"/>
        <w:autoSpaceDE/>
        <w:autoSpaceDN/>
        <w:bidi w:val="0"/>
        <w:adjustRightInd/>
        <w:snapToGrid/>
        <w:spacing w:before="140" w:after="140"/>
        <w:jc w:val="center"/>
        <w:textAlignment w:val="auto"/>
        <w:rPr>
          <w:rFonts w:hint="default"/>
          <w:lang w:val="en-US"/>
        </w:rPr>
      </w:pPr>
      <w:r>
        <w:rPr>
          <w:rFonts w:hint="eastAsia" w:hAnsi="Courier New" w:cs="Courier New" w:asciiTheme="minorAscii" w:eastAsiaTheme="minorEastAsia"/>
          <w:b w:val="0"/>
          <w:bCs w:val="0"/>
          <w:kern w:val="2"/>
          <w:sz w:val="21"/>
          <w:szCs w:val="21"/>
          <w:lang w:val="en-US" w:eastAsia="zh-CN" w:bidi="ar-SA"/>
        </w:rPr>
        <w:t>表2 主要的职业资格证书</w:t>
      </w:r>
    </w:p>
    <w:tbl>
      <w:tblPr>
        <w:tblStyle w:val="10"/>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710"/>
        <w:gridCol w:w="4083"/>
        <w:gridCol w:w="1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867" w:type="dxa"/>
          </w:tcPr>
          <w:p>
            <w:pPr>
              <w:spacing w:line="420" w:lineRule="exact"/>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序号</w:t>
            </w:r>
          </w:p>
        </w:tc>
        <w:tc>
          <w:tcPr>
            <w:tcW w:w="2710" w:type="dxa"/>
          </w:tcPr>
          <w:p>
            <w:pPr>
              <w:spacing w:line="420" w:lineRule="exact"/>
              <w:ind w:firstLine="210" w:firstLineChars="100"/>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职业资格证书名称</w:t>
            </w:r>
          </w:p>
        </w:tc>
        <w:tc>
          <w:tcPr>
            <w:tcW w:w="4083" w:type="dxa"/>
          </w:tcPr>
          <w:p>
            <w:pPr>
              <w:spacing w:line="420" w:lineRule="exact"/>
              <w:ind w:firstLine="210" w:firstLineChars="100"/>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颁证单位</w:t>
            </w:r>
          </w:p>
        </w:tc>
        <w:tc>
          <w:tcPr>
            <w:tcW w:w="1266" w:type="dxa"/>
          </w:tcPr>
          <w:p>
            <w:pPr>
              <w:spacing w:line="420" w:lineRule="exact"/>
              <w:ind w:firstLine="210" w:firstLineChars="100"/>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867" w:type="dxa"/>
          </w:tcPr>
          <w:p>
            <w:pPr>
              <w:spacing w:line="420" w:lineRule="exact"/>
              <w:ind w:firstLine="210" w:firstLineChars="100"/>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w:t>
            </w:r>
          </w:p>
        </w:tc>
        <w:tc>
          <w:tcPr>
            <w:tcW w:w="2710" w:type="dxa"/>
          </w:tcPr>
          <w:p>
            <w:pPr>
              <w:spacing w:line="420" w:lineRule="exact"/>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汽车维修工</w:t>
            </w:r>
          </w:p>
        </w:tc>
        <w:tc>
          <w:tcPr>
            <w:tcW w:w="4083" w:type="dxa"/>
          </w:tcPr>
          <w:p>
            <w:pPr>
              <w:spacing w:line="420" w:lineRule="exact"/>
              <w:ind w:firstLine="210" w:firstLineChars="100"/>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省人力资源和社会保障厅</w:t>
            </w:r>
          </w:p>
        </w:tc>
        <w:tc>
          <w:tcPr>
            <w:tcW w:w="1266" w:type="dxa"/>
          </w:tcPr>
          <w:p>
            <w:pPr>
              <w:spacing w:line="420" w:lineRule="exac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中级、高级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67" w:type="dxa"/>
          </w:tcPr>
          <w:p>
            <w:pPr>
              <w:spacing w:line="420" w:lineRule="exact"/>
              <w:ind w:firstLine="210" w:firstLineChars="100"/>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w:t>
            </w:r>
          </w:p>
        </w:tc>
        <w:tc>
          <w:tcPr>
            <w:tcW w:w="2710" w:type="dxa"/>
          </w:tcPr>
          <w:p>
            <w:pPr>
              <w:spacing w:line="420" w:lineRule="exact"/>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汽车维修电工</w:t>
            </w:r>
          </w:p>
        </w:tc>
        <w:tc>
          <w:tcPr>
            <w:tcW w:w="4083" w:type="dxa"/>
          </w:tcPr>
          <w:p>
            <w:pPr>
              <w:spacing w:line="420" w:lineRule="exact"/>
              <w:ind w:firstLine="210" w:firstLineChars="100"/>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省人力资源和社会保障厅</w:t>
            </w:r>
          </w:p>
        </w:tc>
        <w:tc>
          <w:tcPr>
            <w:tcW w:w="1266" w:type="dxa"/>
          </w:tcPr>
          <w:p>
            <w:pPr>
              <w:spacing w:line="420" w:lineRule="exact"/>
              <w:ind w:firstLine="210" w:firstLineChars="100"/>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中级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67" w:type="dxa"/>
          </w:tcPr>
          <w:p>
            <w:pPr>
              <w:spacing w:line="420" w:lineRule="exact"/>
              <w:ind w:firstLine="210" w:firstLineChars="100"/>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3</w:t>
            </w:r>
          </w:p>
        </w:tc>
        <w:tc>
          <w:tcPr>
            <w:tcW w:w="2710" w:type="dxa"/>
          </w:tcPr>
          <w:p>
            <w:pPr>
              <w:spacing w:line="420" w:lineRule="exact"/>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“1+X”职业技能等级证书</w:t>
            </w:r>
          </w:p>
        </w:tc>
        <w:tc>
          <w:tcPr>
            <w:tcW w:w="4083" w:type="dxa"/>
            <w:vAlign w:val="center"/>
          </w:tcPr>
          <w:p>
            <w:pPr>
              <w:spacing w:line="420" w:lineRule="exact"/>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北京中车行高新技术有限公司</w:t>
            </w:r>
          </w:p>
        </w:tc>
        <w:tc>
          <w:tcPr>
            <w:tcW w:w="1266" w:type="dxa"/>
          </w:tcPr>
          <w:p>
            <w:pPr>
              <w:spacing w:line="420" w:lineRule="exact"/>
              <w:ind w:firstLine="210" w:firstLineChars="100"/>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中级</w:t>
            </w:r>
          </w:p>
        </w:tc>
      </w:tr>
    </w:tbl>
    <w:p>
      <w:pPr>
        <w:pStyle w:val="5"/>
        <w:rPr>
          <w:rFonts w:hint="default"/>
          <w:lang w:val="en-US" w:eastAsia="zh-CN"/>
        </w:rPr>
      </w:pPr>
      <w:r>
        <w:rPr>
          <w:rFonts w:hint="eastAsia"/>
          <w:lang w:val="en-US" w:eastAsia="zh-CN"/>
        </w:rPr>
        <w:t>（四）汽车技术服务与营销专业职业人才的薪资待遇水平</w:t>
      </w:r>
    </w:p>
    <w:p>
      <w:pPr>
        <w:pStyle w:val="6"/>
        <w:spacing w:line="360" w:lineRule="auto"/>
        <w:ind w:firstLine="480" w:firstLineChars="200"/>
        <w:rPr>
          <w:rFonts w:hint="default" w:ascii="宋体" w:hAnsi="宋体" w:eastAsia="宋体" w:cs="宋体"/>
          <w:bCs/>
          <w:color w:val="000000" w:themeColor="text1"/>
          <w:sz w:val="24"/>
          <w:szCs w:val="24"/>
          <w:lang w:val="en-US" w:eastAsia="zh-CN"/>
          <w14:textFill>
            <w14:solidFill>
              <w14:schemeClr w14:val="tx1"/>
            </w14:solidFill>
          </w14:textFill>
        </w:rPr>
      </w:pPr>
      <w:r>
        <w:rPr>
          <w:rFonts w:hint="eastAsia" w:ascii="宋体" w:hAnsi="宋体" w:eastAsia="宋体" w:cs="宋体"/>
          <w:bCs/>
          <w:color w:val="000000" w:themeColor="text1"/>
          <w:sz w:val="24"/>
          <w:szCs w:val="24"/>
          <w:lang w:val="en-US" w:eastAsia="zh-CN"/>
          <w14:textFill>
            <w14:solidFill>
              <w14:schemeClr w14:val="tx1"/>
            </w14:solidFill>
          </w14:textFill>
        </w:rPr>
        <w:t>通过对江苏主流汽车品牌服务企业，特别是校企合作的企业中汽车销售顾问、汽车售后服务顾问、汽车保险等岗位的人员薪资待遇进行了解，发现该类岗位薪资待遇普遍高于检测、维修、钣金等人员的收入水平，如下图2所示，汽车销售顾问全国每月平均工资都在7340元.</w:t>
      </w:r>
    </w:p>
    <w:p>
      <w:pPr>
        <w:pStyle w:val="6"/>
        <w:spacing w:line="360" w:lineRule="auto"/>
        <w:ind w:firstLine="420" w:firstLineChars="200"/>
        <w:jc w:val="center"/>
      </w:pPr>
      <w:r>
        <w:drawing>
          <wp:inline distT="0" distB="0" distL="114300" distR="114300">
            <wp:extent cx="3472815" cy="2351405"/>
            <wp:effectExtent l="31750" t="31750" r="89535" b="93345"/>
            <wp:docPr id="1"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4"/>
                    <pic:cNvPicPr>
                      <a:picLocks noChangeAspect="1"/>
                    </pic:cNvPicPr>
                  </pic:nvPicPr>
                  <pic:blipFill>
                    <a:blip r:embed="rId6"/>
                    <a:stretch>
                      <a:fillRect/>
                    </a:stretch>
                  </pic:blipFill>
                  <pic:spPr>
                    <a:xfrm>
                      <a:off x="0" y="0"/>
                      <a:ext cx="3472815" cy="2351405"/>
                    </a:xfrm>
                    <a:prstGeom prst="rect">
                      <a:avLst/>
                    </a:prstGeom>
                    <a:ln w="15875">
                      <a:solidFill>
                        <a:schemeClr val="bg2">
                          <a:lumMod val="50000"/>
                        </a:schemeClr>
                      </a:solidFill>
                    </a:ln>
                    <a:effectLst>
                      <a:outerShdw blurRad="50800" dist="38100" dir="2700000" algn="tl" rotWithShape="0">
                        <a:prstClr val="black">
                          <a:alpha val="40000"/>
                        </a:prstClr>
                      </a:outerShdw>
                    </a:effectLst>
                  </pic:spPr>
                </pic:pic>
              </a:graphicData>
            </a:graphic>
          </wp:inline>
        </w:drawing>
      </w:r>
    </w:p>
    <w:p>
      <w:pPr>
        <w:pStyle w:val="6"/>
        <w:spacing w:line="360" w:lineRule="auto"/>
        <w:ind w:firstLine="420" w:firstLineChars="200"/>
        <w:jc w:val="center"/>
        <w:rPr>
          <w:rFonts w:hint="default" w:eastAsiaTheme="minorEastAsia"/>
          <w:lang w:val="en-US" w:eastAsia="zh-CN"/>
        </w:rPr>
      </w:pPr>
      <w:r>
        <w:rPr>
          <w:rFonts w:hint="eastAsia"/>
          <w:lang w:val="en-US" w:eastAsia="zh-CN"/>
        </w:rPr>
        <w:t>图2  汽车销售岗位薪资水平</w:t>
      </w:r>
    </w:p>
    <w:p>
      <w:pPr>
        <w:pStyle w:val="5"/>
      </w:pPr>
      <w:bookmarkStart w:id="10" w:name="_Toc131002798"/>
      <w:r>
        <w:rPr>
          <w:rFonts w:hint="eastAsia"/>
        </w:rPr>
        <w:t>（五）汽车</w:t>
      </w:r>
      <w:r>
        <w:rPr>
          <w:rFonts w:hint="eastAsia"/>
          <w:lang w:val="en-US" w:eastAsia="zh-CN"/>
        </w:rPr>
        <w:t>技术服务与营销</w:t>
      </w:r>
      <w:r>
        <w:rPr>
          <w:rFonts w:hint="eastAsia"/>
        </w:rPr>
        <w:t>专业学生情况</w:t>
      </w:r>
      <w:bookmarkEnd w:id="10"/>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50"/>
        <w:textAlignment w:val="auto"/>
        <w:rPr>
          <w:rFonts w:hint="default" w:ascii="宋体" w:hAnsi="宋体" w:eastAsia="宋体" w:cs="宋体"/>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SA"/>
          <w14:textFill>
            <w14:solidFill>
              <w14:schemeClr w14:val="tx1"/>
            </w14:solidFill>
          </w14:textFill>
        </w:rPr>
        <w:t>当前汽车技术服务与营销专业学生类型主要为对口单招和自主招生（普高）两种。</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SA"/>
          <w14:textFill>
            <w14:solidFill>
              <w14:schemeClr w14:val="tx1"/>
            </w14:solidFill>
          </w14:textFill>
        </w:rPr>
        <w:t>1.学情分析及归因</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SA"/>
          <w14:textFill>
            <w14:solidFill>
              <w14:schemeClr w14:val="tx1"/>
            </w14:solidFill>
          </w14:textFill>
        </w:rPr>
        <w:t>（1）学习动机弱</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SA"/>
          <w14:textFill>
            <w14:solidFill>
              <w14:schemeClr w14:val="tx1"/>
            </w14:solidFill>
          </w14:textFill>
        </w:rPr>
        <w:t>高职学生的文化基础薄弱，学习目的不明确，没有养成良好的学习习惯，学习兴趣不浓，学习热情普遍不高，学习缺乏方法和动力，有不少学生索性放弃学习。</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SA"/>
          <w14:textFill>
            <w14:solidFill>
              <w14:schemeClr w14:val="tx1"/>
            </w14:solidFill>
          </w14:textFill>
        </w:rPr>
        <w:t>（2）沉迷手机情况普遍</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SA"/>
          <w14:textFill>
            <w14:solidFill>
              <w14:schemeClr w14:val="tx1"/>
            </w14:solidFill>
          </w14:textFill>
        </w:rPr>
        <w:t>多半学生缺乏自律性，上课爱溜号，尤其是爱玩手机，每天“机不离手”，屡禁不止，喜欢沉迷于玩手机，晚上玩游戏或追剧到很晚，白天上课要么睡觉要么继续玩手机，严重影响了课堂学习效果。</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SA"/>
          <w14:textFill>
            <w14:solidFill>
              <w14:schemeClr w14:val="tx1"/>
            </w14:solidFill>
          </w14:textFill>
        </w:rPr>
        <w:t>（3）学习态度不端正</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SA"/>
          <w14:textFill>
            <w14:solidFill>
              <w14:schemeClr w14:val="tx1"/>
            </w14:solidFill>
          </w14:textFill>
        </w:rPr>
        <w:t>在学习过程中，部分学生常抱侥幸心理“反正听不懂的人那么多,懒得浪费时间了，上课不用听，听了也白听，考试时看别人的就行，及格万岁!”学习态度不端正，学风差，考风差。</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SA"/>
          <w14:textFill>
            <w14:solidFill>
              <w14:schemeClr w14:val="tx1"/>
            </w14:solidFill>
          </w14:textFill>
        </w:rPr>
        <w:t>（4）学习信心不足</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SA"/>
          <w14:textFill>
            <w14:solidFill>
              <w14:schemeClr w14:val="tx1"/>
            </w14:solidFill>
          </w14:textFill>
        </w:rPr>
        <w:t>大多学生由于在中学阶段成绩较差，不被老师和家长看好,自己逐渐失去信心,觉得自己学不好,不会学。特别文化课的学习过程中觉得以前就没学懂过，现在更不懂了，不断给自己心理暗示“我学不会”。有的直接放弃听课，有的一听到不太懂的地方就会放弃下一步学习，缺少坚持的勇气。</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SA"/>
          <w14:textFill>
            <w14:solidFill>
              <w14:schemeClr w14:val="tx1"/>
            </w14:solidFill>
          </w14:textFill>
        </w:rPr>
        <w:t>(5)自我意识太强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SA"/>
          <w14:textFill>
            <w14:solidFill>
              <w14:schemeClr w14:val="tx1"/>
            </w14:solidFill>
          </w14:textFill>
        </w:rPr>
        <w:t>有的学生愿意学习，但是极度渴望得到老师的关注,一旦没有被老师关注就会失望,下意识觉得老师不看好他，继而放弃学习；有的学生个人主义严重，不守纪律，不听课，还听不进老师的批评，爱顶嘴。</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SA"/>
          <w14:textFill>
            <w14:solidFill>
              <w14:schemeClr w14:val="tx1"/>
            </w14:solidFill>
          </w14:textFill>
        </w:rPr>
        <w:t>2.改善高职学情的有效办法</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SA"/>
          <w14:textFill>
            <w14:solidFill>
              <w14:schemeClr w14:val="tx1"/>
            </w14:solidFill>
          </w14:textFill>
        </w:rPr>
        <w:t>（1）可以通过提高入学门槛，全面考核学生素质，专业在招生的时候一定要把好入口关，不能一味的追求入学率、报到率，适当提高入学的门槛，要对学生进行综合能力的测评，基础差不代表学不好，没兴趣可以培养，但是如果学生学习态度不端正，有厌学情绪，有混文凭的想法，这样的学生即使给他提供了学习的机会，也是混日子，这样的毕业生走向社会，不仅不能为企业创造价值，而且还会影响学校在行业中的评价，影响后续学生就业。</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SA"/>
          <w14:textFill>
            <w14:solidFill>
              <w14:schemeClr w14:val="tx1"/>
            </w14:solidFill>
          </w14:textFill>
        </w:rPr>
        <w:t>（2）学校管控学生网络、手机使用情况，最大可能保证学生良好作息,帮助学生培养良好的学习生活习惯。比如:晚上23:00以后全校断网，无免费网络使用后，部分学生会有所收敛。白天上课或晚自习前将全班学生的手机收纳到手机袋统一管理，班干部严格执行并监督。另外，可以将平时成绩的加分制度进一步细化，如上课坐前2排可加一定分值；上课时老师观察到的认真听讲的学生可加一定分值；课前对已学内容提问，答对可加分；采取一些奖励制度，如最优笔记奖、最佳作业奖、最大进步奖等等，引导帮助学生培养良好的学习习惯。</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SA"/>
          <w14:textFill>
            <w14:solidFill>
              <w14:schemeClr w14:val="tx1"/>
            </w14:solidFill>
          </w14:textFill>
        </w:rPr>
        <w:t>（3）严抓学风考风，瓦解学生的侥幸心理，引导学生纠正学习态度。全校范围内肃清考纪，从严处理舞弊学生，让学生羞于舞弊，明白舞弊除了能抹黑自己外无半点实际用处，促使学生加强平时学习来保证学习成绩。另外，课程评价体系应加大平时成绩在成绩评定时的所占比例，鼓励学生加强平时表现，重视学习过程，一步一个脚印端正学习态度。</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SA"/>
          <w14:textFill>
            <w14:solidFill>
              <w14:schemeClr w14:val="tx1"/>
            </w14:solidFill>
          </w14:textFill>
        </w:rPr>
        <w:t>（4）教师应对学生抱有绝对的耐心，想尽一切办法鼓励学生建立学习信心。如教师在上第一堂课时可对学生言明“以前没学好没关系,只要从现在开始听，我包你们都听得懂，牵扯到的已学的知识点我都会提前复习，不用担心，听不懂找我，讲到你懂为止”。在以后的课堂讲授中要不定时的问学生是否听懂，没听懂的再讲一遍，在下课前要询问学生是否听懂了，没懂的及时问。让学生感受到教师对他们的重视。出习题时尽量简单有代表性即可，鼓励学生上讲台写，自己思考，做对可加平时成绩，做错也可加一定分值，并且当堂表扬。让学生喜欢自己思考自己做题。实训课也一样，鼓励学生自己做动手操作,不管结果怎样，只要自己坚持做完即可加最高平时分。加最高的平时分和教师的表扬是对他们最大的肯定。学生在自己思考自己动手的过程中找到自信。</w:t>
      </w:r>
    </w:p>
    <w:p>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textAlignment w:val="auto"/>
        <w:rPr>
          <w:rFonts w:hint="eastAsia" w:ascii="宋体" w:hAnsi="宋体" w:eastAsia="宋体" w:cs="宋体"/>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lang w:val="en-US" w:eastAsia="zh-CN" w:bidi="ar-SA"/>
          <w14:textFill>
            <w14:solidFill>
              <w14:schemeClr w14:val="tx1"/>
            </w14:solidFill>
          </w14:textFill>
        </w:rPr>
        <w:t>（5）积极关注学生的学习动态，及时给予反馈，在批评学生时根据个体差异选取合适的方式，避免正面冲突，使学生在学习时保持良好稳定的情绪。五年制的学生正处在生长的叛逆期，很多人自我意识过强，情绪波动大，教师的及时关注与引导很有必要。对于渴望得到老师关注的学生一定要投以关注和鼓励，这样可以使学生保持学习积极性。这要求教师注意细节，擅于观察学生的表情，洞察学生的心理。在面对上课不守纪律、不听课的同学时要分步进行。首先是通过远程的幽默的调侃或者提问其表达老师已经注意你了，请认真听课。这时候有的学生会收敛，有的学生不会。对于没有收敛的学生需要走近后进一步提醒，请一定保持温和的语气。若学生仍无动于衷或者一脸不耐烦，那么调整好情绪先上课,下课后再找其谈心。在这种处理过程中尽量不用太过尖锐的语言或与学生发生冲突，在谈心过后，绝大多数学生是会收敛的，对于累教不改的极个别学生，可向班主任反映共同商讨解决办法。</w:t>
      </w:r>
    </w:p>
    <w:p>
      <w:pPr>
        <w:pStyle w:val="5"/>
        <w:rPr>
          <w:rFonts w:hint="eastAsia"/>
        </w:rPr>
      </w:pPr>
      <w:bookmarkStart w:id="11" w:name="_Toc131002799"/>
      <w:r>
        <w:rPr>
          <w:rFonts w:hint="eastAsia"/>
        </w:rPr>
        <w:t>（六）师生对汽车</w:t>
      </w:r>
      <w:r>
        <w:rPr>
          <w:rFonts w:hint="eastAsia"/>
          <w:lang w:val="en-US" w:eastAsia="zh-CN"/>
        </w:rPr>
        <w:t>技术服务与营销</w:t>
      </w:r>
      <w:r>
        <w:rPr>
          <w:rFonts w:hint="eastAsia"/>
        </w:rPr>
        <w:t>专业教育的评价</w:t>
      </w:r>
      <w:bookmarkEnd w:id="11"/>
    </w:p>
    <w:p>
      <w:pPr>
        <w:pStyle w:val="3"/>
        <w:spacing w:line="360" w:lineRule="auto"/>
        <w:ind w:left="0" w:firstLine="480" w:firstLineChars="200"/>
        <w:jc w:val="both"/>
        <w:rPr>
          <w:rFonts w:hint="eastAsia" w:ascii="宋体" w:hAnsi="宋体" w:eastAsia="宋体" w:cs="宋体"/>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Cs/>
          <w:color w:val="000000" w:themeColor="text1"/>
          <w:kern w:val="0"/>
          <w:sz w:val="24"/>
          <w:szCs w:val="24"/>
          <w:lang w:val="en-US" w:eastAsia="zh-CN" w:bidi="ar-SA"/>
          <w14:textFill>
            <w14:solidFill>
              <w14:schemeClr w14:val="tx1"/>
            </w14:solidFill>
          </w14:textFill>
        </w:rPr>
        <w:t>1.通过对2021、2022届毕业生调查显示，毕业生对母校教学工作的综合评价很满意和满意的有70人，占95.24%。对在校课程设置很满意和满意的有61人，占86.83％，见图3。具体调查情况如下：</w:t>
      </w:r>
    </w:p>
    <w:p>
      <w:pPr>
        <w:pStyle w:val="3"/>
        <w:spacing w:line="360" w:lineRule="auto"/>
        <w:ind w:left="0"/>
        <w:jc w:val="center"/>
        <w:rPr>
          <w:color w:val="FF0000"/>
          <w:spacing w:val="11"/>
        </w:rPr>
      </w:pPr>
      <w:r>
        <w:drawing>
          <wp:inline distT="0" distB="0" distL="114300" distR="114300">
            <wp:extent cx="4552950" cy="2184400"/>
            <wp:effectExtent l="4445" t="4445" r="14605" b="8255"/>
            <wp:docPr id="3"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图</w:t>
      </w:r>
      <w:r>
        <w:rPr>
          <w:rFonts w:ascii="宋体" w:hAnsi="宋体" w:eastAsia="宋体" w:cs="宋体"/>
          <w:color w:val="000000" w:themeColor="text1"/>
          <w:kern w:val="0"/>
          <w:szCs w:val="21"/>
          <w14:textFill>
            <w14:solidFill>
              <w14:schemeClr w14:val="tx1"/>
            </w14:solidFill>
          </w14:textFill>
        </w:rPr>
        <w:t>3</w:t>
      </w:r>
      <w:r>
        <w:rPr>
          <w:rFonts w:hint="eastAsia" w:ascii="宋体" w:hAnsi="宋体" w:eastAsia="宋体" w:cs="宋体"/>
          <w:color w:val="000000" w:themeColor="text1"/>
          <w:kern w:val="0"/>
          <w:szCs w:val="21"/>
          <w14:textFill>
            <w14:solidFill>
              <w14:schemeClr w14:val="tx1"/>
            </w14:solidFill>
          </w14:textFill>
        </w:rPr>
        <w:t xml:space="preserve"> 毕业生对母校评价分析</w:t>
      </w:r>
    </w:p>
    <w:p>
      <w:pPr>
        <w:widowControl/>
        <w:jc w:val="center"/>
        <w:rPr>
          <w:rFonts w:ascii="宋体" w:hAnsi="宋体" w:eastAsia="宋体" w:cs="宋体"/>
          <w:color w:val="000000" w:themeColor="text1"/>
          <w:kern w:val="0"/>
          <w:szCs w:val="21"/>
          <w14:textFill>
            <w14:solidFill>
              <w14:schemeClr w14:val="tx1"/>
            </w14:solidFill>
          </w14:textFill>
        </w:rPr>
      </w:pPr>
    </w:p>
    <w:p>
      <w:pPr>
        <w:pStyle w:val="3"/>
        <w:spacing w:line="360" w:lineRule="auto"/>
        <w:ind w:left="0" w:firstLine="480" w:firstLineChars="200"/>
        <w:jc w:val="both"/>
        <w:rPr>
          <w:rFonts w:hint="eastAsia" w:ascii="宋体" w:hAnsi="宋体" w:eastAsia="宋体" w:cs="宋体"/>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Cs/>
          <w:color w:val="000000" w:themeColor="text1"/>
          <w:kern w:val="0"/>
          <w:sz w:val="24"/>
          <w:szCs w:val="24"/>
          <w:lang w:val="en-US" w:eastAsia="zh-CN" w:bidi="ar-SA"/>
          <w14:textFill>
            <w14:solidFill>
              <w14:schemeClr w14:val="tx1"/>
            </w14:solidFill>
          </w14:textFill>
        </w:rPr>
        <w:t>2.学生对母校在能力训练方面的评价（见图4）如下：</w:t>
      </w:r>
    </w:p>
    <w:p>
      <w:pPr>
        <w:pStyle w:val="3"/>
        <w:spacing w:line="360" w:lineRule="auto"/>
        <w:ind w:left="0" w:firstLine="480" w:firstLineChars="200"/>
        <w:jc w:val="both"/>
        <w:rPr>
          <w:rFonts w:hint="eastAsia" w:ascii="宋体" w:hAnsi="宋体" w:eastAsia="宋体" w:cs="宋体"/>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Cs/>
          <w:color w:val="000000" w:themeColor="text1"/>
          <w:kern w:val="0"/>
          <w:sz w:val="24"/>
          <w:szCs w:val="24"/>
          <w:lang w:val="en-US" w:eastAsia="zh-CN" w:bidi="ar-SA"/>
          <w14:textFill>
            <w14:solidFill>
              <w14:schemeClr w14:val="tx1"/>
            </w14:solidFill>
          </w14:textFill>
        </w:rPr>
        <w:t>认为实践动手能力训练很强的有34人，占52％，强的有21人，占32％；认为职业文化能力训练很强的有29人，占45％，强的有23人，占35％；认为持续学习能力训练很强的有31人，占48%，强的有27人，占42％。</w:t>
      </w:r>
    </w:p>
    <w:p>
      <w:pPr>
        <w:pStyle w:val="3"/>
        <w:spacing w:line="360" w:lineRule="auto"/>
        <w:ind w:left="0"/>
        <w:jc w:val="both"/>
        <w:rPr>
          <w:color w:val="FF0000"/>
          <w:spacing w:val="11"/>
        </w:rPr>
      </w:pPr>
      <w:r>
        <w:rPr>
          <w:rFonts w:hint="eastAsia"/>
          <w:lang w:val="en-US" w:eastAsia="zh-CN"/>
        </w:rPr>
        <w:t xml:space="preserve">        </w:t>
      </w:r>
      <w:r>
        <w:drawing>
          <wp:inline distT="0" distB="0" distL="114300" distR="114300">
            <wp:extent cx="4556125" cy="2009775"/>
            <wp:effectExtent l="5080" t="4445" r="10795" b="5080"/>
            <wp:docPr id="5"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widowControl/>
        <w:jc w:val="center"/>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图4 毕业生对母校在能力训练方面的评价分析</w:t>
      </w:r>
    </w:p>
    <w:p>
      <w:pPr>
        <w:pStyle w:val="3"/>
        <w:spacing w:line="360" w:lineRule="auto"/>
        <w:ind w:left="0" w:firstLine="480" w:firstLineChars="200"/>
        <w:jc w:val="both"/>
        <w:rPr>
          <w:rFonts w:hint="eastAsia" w:ascii="宋体" w:hAnsi="宋体" w:eastAsia="宋体" w:cs="宋体"/>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Cs/>
          <w:color w:val="000000" w:themeColor="text1"/>
          <w:kern w:val="0"/>
          <w:sz w:val="24"/>
          <w:szCs w:val="24"/>
          <w:lang w:val="en-US" w:eastAsia="zh-CN" w:bidi="ar-SA"/>
          <w14:textFill>
            <w14:solidFill>
              <w14:schemeClr w14:val="tx1"/>
            </w14:solidFill>
          </w14:textFill>
        </w:rPr>
        <w:t>3.学生对工作中需用到的能力项目方面的评价（见图5）如下：</w:t>
      </w:r>
    </w:p>
    <w:p>
      <w:pPr>
        <w:pStyle w:val="3"/>
        <w:spacing w:line="360" w:lineRule="auto"/>
        <w:ind w:left="0" w:firstLine="480" w:firstLineChars="200"/>
        <w:jc w:val="both"/>
        <w:rPr>
          <w:rFonts w:hint="default" w:ascii="宋体" w:hAnsi="宋体" w:eastAsia="宋体" w:cs="宋体"/>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Cs/>
          <w:color w:val="000000" w:themeColor="text1"/>
          <w:kern w:val="0"/>
          <w:sz w:val="24"/>
          <w:szCs w:val="24"/>
          <w:lang w:val="en-US" w:eastAsia="zh-CN" w:bidi="ar-SA"/>
          <w14:textFill>
            <w14:solidFill>
              <w14:schemeClr w14:val="tx1"/>
            </w14:solidFill>
          </w14:textFill>
        </w:rPr>
        <w:t>沟通交流、语言表达能力运用很多的有78人，占88.46%，运用较多的有23人，占21.38%；认为团队协作能力运用很多的有57人，占58.46%，运用较多的有44人，占36.92%；认为同理心、换位思考能力运用很多的有42人，占50.85%，运用较多的有36人，占40%；认为分析问题、解决问题能力运用很多的有62人，占53.85%，运用较多的有36人，占40%。认为应变能力运用很多的有70人，占60.85%，运用较多的有36人，占38%。</w:t>
      </w:r>
    </w:p>
    <w:p>
      <w:pPr>
        <w:pStyle w:val="3"/>
        <w:spacing w:line="360" w:lineRule="auto"/>
        <w:jc w:val="both"/>
        <w:rPr>
          <w:rFonts w:hint="default" w:ascii="宋体" w:hAnsi="宋体" w:eastAsia="宋体" w:cs="宋体"/>
          <w:bCs/>
          <w:color w:val="000000" w:themeColor="text1"/>
          <w:kern w:val="0"/>
          <w:sz w:val="24"/>
          <w:szCs w:val="24"/>
          <w:lang w:val="en-US" w:eastAsia="zh-CN" w:bidi="ar-SA"/>
          <w14:textFill>
            <w14:solidFill>
              <w14:schemeClr w14:val="tx1"/>
            </w14:solidFill>
          </w14:textFill>
        </w:rPr>
      </w:pPr>
      <w:r>
        <w:drawing>
          <wp:inline distT="0" distB="0" distL="114300" distR="114300">
            <wp:extent cx="5203825" cy="2104390"/>
            <wp:effectExtent l="4445" t="4445" r="11430" b="12065"/>
            <wp:docPr id="6"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widowControl/>
        <w:jc w:val="center"/>
        <w:rPr>
          <w:rFonts w:hint="eastAsia" w:ascii="宋体" w:hAnsi="宋体" w:eastAsia="宋体" w:cs="宋体"/>
          <w:color w:val="000000" w:themeColor="text1"/>
          <w:kern w:val="0"/>
          <w:szCs w:val="21"/>
          <w:lang w:val="en-US"/>
          <w14:textFill>
            <w14:solidFill>
              <w14:schemeClr w14:val="tx1"/>
            </w14:solidFill>
          </w14:textFill>
        </w:rPr>
      </w:pPr>
      <w:r>
        <w:rPr>
          <w:rFonts w:hint="eastAsia" w:ascii="宋体" w:hAnsi="宋体" w:eastAsia="宋体" w:cs="宋体"/>
          <w:color w:val="000000" w:themeColor="text1"/>
          <w:kern w:val="0"/>
          <w:szCs w:val="21"/>
          <w:lang w:val="en-US"/>
          <w14:textFill>
            <w14:solidFill>
              <w14:schemeClr w14:val="tx1"/>
            </w14:solidFill>
          </w14:textFill>
        </w:rPr>
        <w:t>图5 毕业生对工作中需用到的能力项目方面的评价分析</w:t>
      </w:r>
    </w:p>
    <w:p>
      <w:pPr>
        <w:pStyle w:val="3"/>
        <w:spacing w:line="360" w:lineRule="auto"/>
        <w:ind w:left="0" w:firstLine="480" w:firstLineChars="200"/>
        <w:jc w:val="both"/>
        <w:rPr>
          <w:rFonts w:hint="eastAsia" w:ascii="宋体" w:hAnsi="宋体" w:eastAsia="宋体" w:cs="宋体"/>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Cs/>
          <w:color w:val="000000" w:themeColor="text1"/>
          <w:kern w:val="0"/>
          <w:sz w:val="24"/>
          <w:szCs w:val="24"/>
          <w:lang w:val="en-US" w:eastAsia="zh-CN" w:bidi="ar-SA"/>
          <w14:textFill>
            <w14:solidFill>
              <w14:schemeClr w14:val="tx1"/>
            </w14:solidFill>
          </w14:textFill>
        </w:rPr>
        <w:t>4.学生对自我基本素质评价（见图6）如下：</w:t>
      </w:r>
    </w:p>
    <w:p>
      <w:pPr>
        <w:pStyle w:val="3"/>
        <w:spacing w:line="360" w:lineRule="auto"/>
        <w:ind w:left="0" w:firstLine="480" w:firstLineChars="200"/>
        <w:jc w:val="both"/>
        <w:rPr>
          <w:rFonts w:hint="eastAsia" w:ascii="宋体" w:hAnsi="宋体" w:eastAsia="宋体" w:cs="宋体"/>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Cs/>
          <w:color w:val="000000" w:themeColor="text1"/>
          <w:kern w:val="0"/>
          <w:sz w:val="24"/>
          <w:szCs w:val="24"/>
          <w:lang w:val="en-US" w:eastAsia="zh-CN" w:bidi="ar-SA"/>
          <w14:textFill>
            <w14:solidFill>
              <w14:schemeClr w14:val="tx1"/>
            </w14:solidFill>
          </w14:textFill>
        </w:rPr>
        <w:t>认为创新与改革很强的有19人，占29.23%，强的有22人，占33.85%，较强的有17人，占26.15%；认为服从工作需要和组织安排很强的有23人，占35.38%，强的有25人，占38.46%，较强的有12人，占18.46%；认为对岗位及新任务的适应很强的有22人，占33.85%，强的有26人，占40%，较强的有12人，占18.46%；认为合作精神与同事关系很强的有23人，占35.38%，强的有27人，占41.54%，较强的有10人，占15.38。</w:t>
      </w:r>
    </w:p>
    <w:p>
      <w:pPr>
        <w:pStyle w:val="3"/>
        <w:spacing w:line="360" w:lineRule="auto"/>
        <w:ind w:left="0"/>
        <w:jc w:val="center"/>
        <w:rPr>
          <w:color w:val="000000" w:themeColor="text1"/>
          <w:spacing w:val="11"/>
          <w14:textFill>
            <w14:solidFill>
              <w14:schemeClr w14:val="tx1"/>
            </w14:solidFill>
          </w14:textFill>
        </w:rPr>
      </w:pPr>
      <w:r>
        <w:rPr>
          <w:rFonts w:hint="eastAsia"/>
          <w:color w:val="000000" w:themeColor="text1"/>
          <w:spacing w:val="11"/>
          <w:lang w:val="en-US" w:bidi="ar-SA"/>
          <w14:textFill>
            <w14:solidFill>
              <w14:schemeClr w14:val="tx1"/>
            </w14:solidFill>
          </w14:textFill>
        </w:rPr>
        <w:drawing>
          <wp:inline distT="0" distB="0" distL="0" distR="0">
            <wp:extent cx="3223895" cy="2903220"/>
            <wp:effectExtent l="0" t="0" r="1905" b="508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0">
                      <a:extLst>
                        <a:ext uri="{28A0092B-C50C-407E-A947-70E740481C1C}">
                          <a14:useLocalDpi xmlns:a14="http://schemas.microsoft.com/office/drawing/2010/main" val="0"/>
                        </a:ext>
                      </a:extLst>
                    </a:blip>
                    <a:srcRect l="8354" t="16191" r="7611"/>
                    <a:stretch>
                      <a:fillRect/>
                    </a:stretch>
                  </pic:blipFill>
                  <pic:spPr>
                    <a:xfrm>
                      <a:off x="0" y="0"/>
                      <a:ext cx="3223895" cy="2903220"/>
                    </a:xfrm>
                    <a:prstGeom prst="rect">
                      <a:avLst/>
                    </a:prstGeom>
                    <a:ln>
                      <a:noFill/>
                    </a:ln>
                  </pic:spPr>
                </pic:pic>
              </a:graphicData>
            </a:graphic>
          </wp:inline>
        </w:drawing>
      </w:r>
    </w:p>
    <w:p>
      <w:pPr>
        <w:spacing w:line="400" w:lineRule="exact"/>
        <w:jc w:val="center"/>
        <w:rPr>
          <w:rFonts w:ascii="黑体" w:hAnsi="黑体" w:eastAsia="黑体" w:cs="黑体"/>
          <w:bCs/>
          <w:color w:val="000000"/>
          <w:kern w:val="0"/>
          <w:sz w:val="32"/>
          <w:szCs w:val="32"/>
        </w:rPr>
      </w:pPr>
      <w:r>
        <w:rPr>
          <w:rFonts w:hint="eastAsia" w:ascii="宋体" w:hAnsi="宋体" w:eastAsia="宋体" w:cs="宋体"/>
          <w:color w:val="000000" w:themeColor="text1"/>
          <w:kern w:val="0"/>
          <w:szCs w:val="21"/>
          <w14:textFill>
            <w14:solidFill>
              <w14:schemeClr w14:val="tx1"/>
            </w14:solidFill>
          </w14:textFill>
        </w:rPr>
        <w:t>图</w:t>
      </w:r>
      <w:r>
        <w:rPr>
          <w:rFonts w:ascii="宋体" w:hAnsi="宋体" w:eastAsia="宋体" w:cs="宋体"/>
          <w:color w:val="000000" w:themeColor="text1"/>
          <w:kern w:val="0"/>
          <w:szCs w:val="21"/>
          <w14:textFill>
            <w14:solidFill>
              <w14:schemeClr w14:val="tx1"/>
            </w14:solidFill>
          </w14:textFill>
        </w:rPr>
        <w:t>6</w:t>
      </w:r>
      <w:r>
        <w:rPr>
          <w:rFonts w:hint="eastAsia" w:ascii="宋体" w:hAnsi="宋体" w:eastAsia="宋体" w:cs="宋体"/>
          <w:color w:val="000000" w:themeColor="text1"/>
          <w:kern w:val="0"/>
          <w:szCs w:val="21"/>
          <w14:textFill>
            <w14:solidFill>
              <w14:schemeClr w14:val="tx1"/>
            </w14:solidFill>
          </w14:textFill>
        </w:rPr>
        <w:t xml:space="preserve"> 毕业生对自我基本素质的评价分析</w:t>
      </w:r>
    </w:p>
    <w:p>
      <w:pPr>
        <w:pStyle w:val="4"/>
        <w:rPr>
          <w:rFonts w:hint="eastAsia" w:ascii="黑体" w:hAnsi="黑体" w:eastAsia="黑体" w:cs="黑体"/>
          <w:b w:val="0"/>
          <w:color w:val="000000"/>
          <w:kern w:val="0"/>
          <w:sz w:val="36"/>
          <w:szCs w:val="36"/>
          <w:lang w:val="en-US" w:eastAsia="zh-CN"/>
        </w:rPr>
      </w:pPr>
      <w:bookmarkStart w:id="12" w:name="_Toc131002800"/>
      <w:r>
        <w:rPr>
          <w:rFonts w:hint="eastAsia" w:ascii="黑体" w:hAnsi="黑体" w:eastAsia="黑体" w:cs="黑体"/>
          <w:b w:val="0"/>
          <w:color w:val="000000"/>
          <w:kern w:val="0"/>
          <w:sz w:val="36"/>
          <w:szCs w:val="36"/>
          <w:lang w:val="en-US" w:eastAsia="zh-CN"/>
        </w:rPr>
        <w:t>三、</w:t>
      </w:r>
      <w:r>
        <w:rPr>
          <w:rFonts w:hint="eastAsia" w:ascii="黑体" w:hAnsi="黑体" w:eastAsia="黑体" w:cs="黑体"/>
          <w:b w:val="0"/>
          <w:color w:val="000000"/>
          <w:kern w:val="0"/>
          <w:sz w:val="36"/>
          <w:szCs w:val="36"/>
        </w:rPr>
        <w:t>汽车</w:t>
      </w:r>
      <w:r>
        <w:rPr>
          <w:rFonts w:hint="eastAsia" w:ascii="黑体" w:hAnsi="黑体" w:eastAsia="黑体" w:cs="黑体"/>
          <w:b w:val="0"/>
          <w:color w:val="000000"/>
          <w:kern w:val="0"/>
          <w:sz w:val="36"/>
          <w:szCs w:val="36"/>
          <w:lang w:val="en-US" w:eastAsia="zh-CN"/>
        </w:rPr>
        <w:t>技术服务与营销</w:t>
      </w:r>
      <w:r>
        <w:rPr>
          <w:rFonts w:hint="eastAsia" w:ascii="黑体" w:hAnsi="黑体" w:eastAsia="黑体" w:cs="黑体"/>
          <w:b w:val="0"/>
          <w:color w:val="000000"/>
          <w:kern w:val="0"/>
          <w:sz w:val="36"/>
          <w:szCs w:val="36"/>
        </w:rPr>
        <w:t>专业</w:t>
      </w:r>
      <w:bookmarkEnd w:id="12"/>
      <w:r>
        <w:rPr>
          <w:rFonts w:hint="eastAsia" w:ascii="黑体" w:hAnsi="黑体" w:eastAsia="黑体" w:cs="黑体"/>
          <w:b w:val="0"/>
          <w:color w:val="000000"/>
          <w:kern w:val="0"/>
          <w:sz w:val="36"/>
          <w:szCs w:val="36"/>
          <w:lang w:val="en-US" w:eastAsia="zh-CN"/>
        </w:rPr>
        <w:t>人才培养优化对策</w:t>
      </w:r>
    </w:p>
    <w:p>
      <w:pPr>
        <w:spacing w:line="420" w:lineRule="exact"/>
        <w:ind w:firstLine="480" w:firstLineChars="200"/>
        <w:rPr>
          <w:rFonts w:ascii="宋体" w:hAnsi="宋体"/>
          <w:sz w:val="24"/>
        </w:rPr>
      </w:pPr>
      <w:bookmarkStart w:id="13" w:name="_Toc131002801"/>
      <w:r>
        <w:rPr>
          <w:rFonts w:ascii="宋体" w:hAnsi="宋体"/>
          <w:sz w:val="24"/>
        </w:rPr>
        <w:t>从调研结果中可以发现，学校对学生顶岗实习的岗位和企业类型的期望与企业调研的结果是有一定矛盾的，这也说明目前学校和企业间的沟通存在一定的问题。因此，应鼓励专业教师参与企业生产实践，聘请具有实践经验的专业技术人员和高技能人才担任专、兼职教师，从而形成真正意义上的业务精湛、结构合理的“双师型”教师队伍。</w:t>
      </w:r>
    </w:p>
    <w:p>
      <w:pPr>
        <w:pStyle w:val="5"/>
        <w:ind w:firstLine="482" w:firstLineChars="200"/>
        <w:rPr>
          <w:rFonts w:hint="eastAsia" w:ascii="宋体" w:hAnsi="宋体" w:eastAsia="宋体" w:cs="宋体"/>
          <w:b/>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bCs w:val="0"/>
          <w:color w:val="000000" w:themeColor="text1"/>
          <w:kern w:val="0"/>
          <w:sz w:val="24"/>
          <w:szCs w:val="24"/>
          <w:lang w:val="en-US" w:eastAsia="zh-CN" w:bidi="ar-SA"/>
          <w14:textFill>
            <w14:solidFill>
              <w14:schemeClr w14:val="tx1"/>
            </w14:solidFill>
          </w14:textFill>
        </w:rPr>
        <w:t xml:space="preserve">1.进一完善专业特色课程体系 </w:t>
      </w:r>
    </w:p>
    <w:p>
      <w:pPr>
        <w:numPr>
          <w:numId w:val="0"/>
        </w:numPr>
        <w:spacing w:line="420" w:lineRule="exact"/>
        <w:ind w:firstLine="480" w:firstLineChars="200"/>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t>由学校资深教师和企业一线骨干专家共同组建专业建设委员会，针对行业现状与发展；针对国家、市场、行业需求；针对当前的学情和教情，共同制定人才培养方案和具有特色的课程体系。针对实际职业岗位的一般职业能力、专业能力、综合能力的新需求，按照 " 基本技能 – 核心技能 - 综合技能 " 的原则，每年进行课程体系的评审和优化，打造具有特色的人才培养方案。</w:t>
      </w:r>
    </w:p>
    <w:p>
      <w:pPr>
        <w:pStyle w:val="5"/>
        <w:ind w:firstLine="482" w:firstLineChars="200"/>
        <w:rPr>
          <w:rFonts w:hint="eastAsia" w:ascii="宋体" w:hAnsi="宋体" w:eastAsia="宋体" w:cs="宋体"/>
          <w:b/>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bCs w:val="0"/>
          <w:color w:val="000000" w:themeColor="text1"/>
          <w:kern w:val="0"/>
          <w:sz w:val="24"/>
          <w:szCs w:val="24"/>
          <w:lang w:val="en-US" w:eastAsia="zh-CN" w:bidi="ar-SA"/>
          <w14:textFill>
            <w14:solidFill>
              <w14:schemeClr w14:val="tx1"/>
            </w14:solidFill>
          </w14:textFill>
        </w:rPr>
        <w:t>2.进一步完善教学改革与课程改革制度</w:t>
      </w:r>
    </w:p>
    <w:p>
      <w:pPr>
        <w:spacing w:line="440" w:lineRule="exact"/>
        <w:ind w:firstLine="480" w:firstLineChars="200"/>
        <w:rPr>
          <w:rFonts w:ascii="宋体" w:hAnsi="宋体"/>
          <w:sz w:val="24"/>
        </w:rPr>
      </w:pPr>
      <w:r>
        <w:rPr>
          <w:rFonts w:hint="eastAsia" w:ascii="宋体" w:hAnsi="宋体"/>
          <w:sz w:val="24"/>
        </w:rPr>
        <w:t>（1）</w:t>
      </w:r>
      <w:r>
        <w:rPr>
          <w:rFonts w:ascii="宋体" w:hAnsi="宋体"/>
          <w:sz w:val="24"/>
        </w:rPr>
        <w:t>以准确的市场调研，论证为前提，以行业专家</w:t>
      </w:r>
      <w:r>
        <w:rPr>
          <w:rFonts w:hint="eastAsia" w:ascii="宋体" w:hAnsi="宋体"/>
          <w:sz w:val="24"/>
        </w:rPr>
        <w:t>、</w:t>
      </w:r>
      <w:r>
        <w:rPr>
          <w:rFonts w:ascii="宋体" w:hAnsi="宋体"/>
          <w:sz w:val="24"/>
        </w:rPr>
        <w:t>课程专家指导为前提，</w:t>
      </w:r>
      <w:r>
        <w:rPr>
          <w:rFonts w:hint="eastAsia" w:ascii="宋体" w:hAnsi="宋体"/>
          <w:sz w:val="24"/>
        </w:rPr>
        <w:t>进一步</w:t>
      </w:r>
      <w:r>
        <w:rPr>
          <w:rFonts w:ascii="宋体" w:hAnsi="宋体"/>
          <w:sz w:val="24"/>
        </w:rPr>
        <w:t>完善</w:t>
      </w:r>
      <w:r>
        <w:rPr>
          <w:rFonts w:hint="eastAsia" w:ascii="宋体" w:hAnsi="宋体"/>
          <w:sz w:val="24"/>
        </w:rPr>
        <w:t>教</w:t>
      </w:r>
      <w:r>
        <w:rPr>
          <w:rFonts w:ascii="宋体" w:hAnsi="宋体"/>
          <w:sz w:val="24"/>
        </w:rPr>
        <w:t>学计划。</w:t>
      </w:r>
    </w:p>
    <w:p>
      <w:pPr>
        <w:spacing w:line="440" w:lineRule="exact"/>
        <w:rPr>
          <w:rFonts w:ascii="宋体" w:hAnsi="宋体"/>
          <w:sz w:val="24"/>
        </w:rPr>
      </w:pPr>
      <w:r>
        <w:rPr>
          <w:rFonts w:hint="eastAsia" w:ascii="宋体" w:hAnsi="宋体"/>
          <w:sz w:val="24"/>
        </w:rPr>
        <w:t xml:space="preserve">    （2）</w:t>
      </w:r>
      <w:r>
        <w:rPr>
          <w:rFonts w:ascii="宋体" w:hAnsi="宋体"/>
          <w:sz w:val="24"/>
        </w:rPr>
        <w:t>以市场需求为据，改革教学内容，根据学生的学习基础和接受能力，在因材施教的基础上适当调整各类课程的比例，加重专业课，实</w:t>
      </w:r>
      <w:r>
        <w:rPr>
          <w:rFonts w:hint="eastAsia" w:ascii="宋体" w:hAnsi="宋体"/>
          <w:sz w:val="24"/>
        </w:rPr>
        <w:t>训</w:t>
      </w:r>
      <w:r>
        <w:rPr>
          <w:rFonts w:ascii="宋体" w:hAnsi="宋体"/>
          <w:sz w:val="24"/>
        </w:rPr>
        <w:t>操作课的比例，让学生能理解，会操作，兴趣浓厚，积极性高</w:t>
      </w:r>
      <w:r>
        <w:rPr>
          <w:rFonts w:hint="eastAsia" w:ascii="宋体" w:hAnsi="宋体"/>
          <w:sz w:val="24"/>
        </w:rPr>
        <w:t>，</w:t>
      </w:r>
      <w:r>
        <w:rPr>
          <w:rFonts w:ascii="宋体" w:hAnsi="宋体"/>
          <w:sz w:val="24"/>
        </w:rPr>
        <w:t>实用性强。</w:t>
      </w:r>
    </w:p>
    <w:p>
      <w:pPr>
        <w:spacing w:line="440" w:lineRule="exact"/>
        <w:ind w:firstLine="528" w:firstLineChars="220"/>
        <w:rPr>
          <w:rFonts w:ascii="宋体" w:hAnsi="宋体"/>
          <w:sz w:val="24"/>
        </w:rPr>
      </w:pPr>
      <w:r>
        <w:rPr>
          <w:rFonts w:hint="eastAsia" w:ascii="宋体" w:hAnsi="宋体"/>
          <w:sz w:val="24"/>
        </w:rPr>
        <w:t>（3）继续深化“理实一体化”的教学模式。组织教师继续加强研讨，不断完善和改进，在加强理论教学的同时，重点培养学生的动手技能。</w:t>
      </w:r>
    </w:p>
    <w:p>
      <w:pPr>
        <w:spacing w:line="440" w:lineRule="exact"/>
        <w:rPr>
          <w:rFonts w:ascii="宋体" w:hAnsi="宋体"/>
          <w:sz w:val="24"/>
        </w:rPr>
      </w:pPr>
      <w:r>
        <w:rPr>
          <w:rFonts w:hint="eastAsia" w:ascii="宋体" w:hAnsi="宋体"/>
          <w:sz w:val="24"/>
        </w:rPr>
        <w:t xml:space="preserve">    （</w:t>
      </w:r>
      <w:r>
        <w:rPr>
          <w:rFonts w:ascii="宋体" w:hAnsi="宋体"/>
          <w:sz w:val="24"/>
        </w:rPr>
        <w:t>4</w:t>
      </w:r>
      <w:r>
        <w:rPr>
          <w:rFonts w:hint="eastAsia" w:ascii="宋体" w:hAnsi="宋体"/>
          <w:sz w:val="24"/>
        </w:rPr>
        <w:t>）</w:t>
      </w:r>
      <w:r>
        <w:rPr>
          <w:rFonts w:ascii="宋体" w:hAnsi="宋体"/>
          <w:sz w:val="24"/>
        </w:rPr>
        <w:t>改革考核与评价方式。</w:t>
      </w:r>
      <w:r>
        <w:rPr>
          <w:rFonts w:hint="eastAsia" w:ascii="宋体" w:hAnsi="宋体"/>
          <w:sz w:val="24"/>
        </w:rPr>
        <w:t>对于专业理论课程，</w:t>
      </w:r>
      <w:r>
        <w:rPr>
          <w:rFonts w:ascii="宋体" w:hAnsi="宋体"/>
          <w:sz w:val="24"/>
        </w:rPr>
        <w:t>实施</w:t>
      </w:r>
      <w:r>
        <w:rPr>
          <w:rFonts w:hint="eastAsia" w:ascii="宋体" w:hAnsi="宋体"/>
          <w:sz w:val="24"/>
        </w:rPr>
        <w:t>专业主干课程试题库制度。</w:t>
      </w:r>
    </w:p>
    <w:p>
      <w:pPr>
        <w:spacing w:line="440" w:lineRule="exact"/>
        <w:ind w:firstLine="480" w:firstLineChars="200"/>
        <w:rPr>
          <w:rFonts w:hint="eastAsia" w:ascii="宋体" w:hAnsi="宋体"/>
          <w:sz w:val="24"/>
        </w:rPr>
      </w:pPr>
      <w:r>
        <w:rPr>
          <w:rFonts w:hint="eastAsia" w:ascii="宋体" w:hAnsi="宋体"/>
          <w:sz w:val="24"/>
        </w:rPr>
        <w:t>（5）采用学分制，鼓励学生选择自己喜欢的课程，或根据自己及的能力提前修完学业，增加学生学习的主动性和多样性，培养学生的创新精神，教学方案的执行应照顾学生的不同学习兴趣和进度，便于学生的个性发展。</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Theme="minorEastAsia" w:cstheme="minorBidi"/>
          <w:kern w:val="2"/>
          <w:sz w:val="24"/>
          <w:szCs w:val="24"/>
          <w:lang w:val="en-US" w:eastAsia="zh-CN" w:bidi="ar-SA"/>
        </w:rPr>
      </w:pPr>
      <w:r>
        <w:rPr>
          <w:rFonts w:hint="eastAsia" w:ascii="宋体" w:hAnsi="宋体"/>
          <w:sz w:val="24"/>
          <w:lang w:val="en-US" w:eastAsia="zh-CN"/>
        </w:rPr>
        <w:t xml:space="preserve"> </w:t>
      </w:r>
      <w:r>
        <w:rPr>
          <w:rFonts w:hint="eastAsia" w:ascii="宋体" w:hAnsi="宋体" w:eastAsiaTheme="minorEastAsia" w:cstheme="minorBidi"/>
          <w:kern w:val="2"/>
          <w:sz w:val="24"/>
          <w:szCs w:val="24"/>
          <w:lang w:val="en-US" w:eastAsia="zh-CN" w:bidi="ar-SA"/>
        </w:rPr>
        <w:t>（6）开设的课程点对点服务汽车后市场中的主流岗位（如下图所示），学生完成某门课程的学习，也就具备了对应岗位的能力素养需求。</w:t>
      </w:r>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pPr>
      <w:r>
        <w:drawing>
          <wp:inline distT="0" distB="0" distL="114300" distR="114300">
            <wp:extent cx="3552190" cy="3926205"/>
            <wp:effectExtent l="0" t="0" r="3810" b="1079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1"/>
                    <a:stretch>
                      <a:fillRect/>
                    </a:stretch>
                  </pic:blipFill>
                  <pic:spPr>
                    <a:xfrm>
                      <a:off x="0" y="0"/>
                      <a:ext cx="3552190" cy="3926205"/>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eastAsia"/>
        </w:rPr>
        <w:t>图</w:t>
      </w:r>
      <w:r>
        <w:rPr>
          <w:rFonts w:hint="eastAsia"/>
          <w:lang w:val="en-US" w:eastAsia="zh-CN"/>
        </w:rPr>
        <w:t xml:space="preserve">7 </w:t>
      </w:r>
      <w:r>
        <w:rPr>
          <w:rFonts w:hint="eastAsia"/>
        </w:rPr>
        <w:t>主要开设课程与服务的岗位</w:t>
      </w:r>
    </w:p>
    <w:p>
      <w:pPr>
        <w:pStyle w:val="5"/>
        <w:ind w:firstLine="482" w:firstLineChars="200"/>
        <w:rPr>
          <w:rFonts w:hint="eastAsia" w:ascii="宋体" w:hAnsi="宋体" w:eastAsia="宋体" w:cs="宋体"/>
          <w:b/>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bCs w:val="0"/>
          <w:color w:val="000000" w:themeColor="text1"/>
          <w:kern w:val="0"/>
          <w:sz w:val="24"/>
          <w:szCs w:val="24"/>
          <w:lang w:val="en-US" w:eastAsia="zh-CN" w:bidi="ar-SA"/>
          <w14:textFill>
            <w14:solidFill>
              <w14:schemeClr w14:val="tx1"/>
            </w14:solidFill>
          </w14:textFill>
        </w:rPr>
        <w:t>3.进一步开展产学研结合合作</w:t>
      </w:r>
    </w:p>
    <w:p>
      <w:pPr>
        <w:spacing w:line="440" w:lineRule="exact"/>
        <w:ind w:firstLine="480" w:firstLineChars="200"/>
        <w:rPr>
          <w:rFonts w:ascii="宋体" w:hAnsi="宋体"/>
          <w:sz w:val="24"/>
        </w:rPr>
      </w:pPr>
      <w:r>
        <w:rPr>
          <w:rFonts w:hint="eastAsia" w:ascii="宋体" w:hAnsi="宋体"/>
          <w:sz w:val="24"/>
        </w:rPr>
        <w:t>实训基地建设要充分体现本专业的特色和水平，满足教学环节的需要，体现专业的先进性和实用性。要本着自主研发、分步实施、重在使用的原则，不断添置和更新实训设备；加强与生产、服务企业单位联系，在校外建设一批相对稳定的维修实习基地，开展与著名企业的定单式培养模式；开展校企合作、产学研结合的活动，把实训设备与生产、经营、培训、技术开发结合起来，充分发挥实训设备的社会效益和经济效益。要统筹规划，校际间要加强联合，集中力量重点建设一批国家级实训基地，实行资源共享，充分提高资源的利用率。</w:t>
      </w:r>
    </w:p>
    <w:p>
      <w:pPr>
        <w:pStyle w:val="5"/>
        <w:ind w:firstLine="482" w:firstLineChars="200"/>
        <w:rPr>
          <w:rFonts w:hint="eastAsia" w:ascii="宋体" w:hAnsi="宋体" w:eastAsia="宋体" w:cs="宋体"/>
          <w:b/>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bCs w:val="0"/>
          <w:color w:val="000000" w:themeColor="text1"/>
          <w:kern w:val="0"/>
          <w:sz w:val="24"/>
          <w:szCs w:val="24"/>
          <w:lang w:val="en-US" w:eastAsia="zh-CN" w:bidi="ar-SA"/>
          <w14:textFill>
            <w14:solidFill>
              <w14:schemeClr w14:val="tx1"/>
            </w14:solidFill>
          </w14:textFill>
        </w:rPr>
        <w:t>4.进一步提高本专业服务地方经济和适应社会发展的能力</w:t>
      </w:r>
    </w:p>
    <w:p>
      <w:pPr>
        <w:pStyle w:val="5"/>
        <w:ind w:firstLine="480" w:firstLineChars="200"/>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pPr>
      <w:r>
        <w:rPr>
          <w:rFonts w:hint="eastAsia" w:ascii="宋体" w:hAnsi="宋体" w:eastAsiaTheme="minorEastAsia" w:cstheme="minorBidi"/>
          <w:b w:val="0"/>
          <w:bCs w:val="0"/>
          <w:kern w:val="2"/>
          <w:sz w:val="24"/>
          <w:szCs w:val="24"/>
          <w:lang w:val="en-US" w:eastAsia="zh-CN" w:bidi="ar-SA"/>
        </w:rPr>
        <w:t>学校要加强与社会和企业用人单位的紧密联系，以成立专业建设咨询委员会为依托，广泛征求企业单位对专业建设的意见和建议；要定期听取用人单位对毕业生的意见，及时反馈调整，改进教学工作，加强学生的就业指导和创业教育；拓展专业方向，建设为区域经济服务的专业群。</w:t>
      </w:r>
    </w:p>
    <w:p>
      <w:pPr>
        <w:pStyle w:val="5"/>
        <w:keepNext/>
        <w:keepLines/>
        <w:pageBreakBefore w:val="0"/>
        <w:widowControl w:val="0"/>
        <w:kinsoku/>
        <w:wordWrap/>
        <w:overflowPunct/>
        <w:topLinePunct w:val="0"/>
        <w:autoSpaceDE/>
        <w:autoSpaceDN/>
        <w:bidi w:val="0"/>
        <w:adjustRightInd/>
        <w:snapToGrid/>
        <w:spacing w:before="140" w:after="140"/>
        <w:ind w:firstLine="482" w:firstLineChars="200"/>
        <w:textAlignment w:val="auto"/>
        <w:rPr>
          <w:rFonts w:hint="eastAsia" w:ascii="宋体" w:hAnsi="宋体" w:eastAsia="宋体" w:cs="宋体"/>
          <w:b/>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bCs w:val="0"/>
          <w:color w:val="000000" w:themeColor="text1"/>
          <w:kern w:val="0"/>
          <w:sz w:val="24"/>
          <w:szCs w:val="24"/>
          <w:lang w:val="en-US" w:eastAsia="zh-CN" w:bidi="ar-SA"/>
          <w14:textFill>
            <w14:solidFill>
              <w14:schemeClr w14:val="tx1"/>
            </w14:solidFill>
          </w14:textFill>
        </w:rPr>
        <w:t>5.进一步深化校企合作，开发信息化和数字化的教学资源</w:t>
      </w:r>
    </w:p>
    <w:p>
      <w:pPr>
        <w:keepNext w:val="0"/>
        <w:keepLines w:val="0"/>
        <w:pageBreakBefore w:val="0"/>
        <w:widowControl w:val="0"/>
        <w:numPr>
          <w:numId w:val="0"/>
        </w:numPr>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t>2018 年 2 月，教育部等六部门印发了《职业学校校企合作促进办法》，指出“职业学校和企业可以结合实际，实现人员互相兼职，相互为学生实习实训、教师实践、学生就业创业等提供支持”。应推进校企合作、产教融合，整合企业和学校各方资源，共建共享多样化资源。企业利用这些资源可以进行员工培训；学校利用资源可以进行学生培训、双师素质教师培养；校企还可利用资源合作开设“订单”培养，或开展技能大赛及各类销售活动，培养学生的实战能力同时，扩大汽车品牌知名度，为企业培养、发掘合适人才，助力学生就业，实现互惠互利，校企双赢。教学资源的共建共享能很好的实现在校教育与企业就业的无缝对接。</w:t>
      </w:r>
    </w:p>
    <w:p>
      <w:pPr>
        <w:pStyle w:val="5"/>
        <w:ind w:firstLine="482" w:firstLineChars="200"/>
        <w:rPr>
          <w:rFonts w:hint="eastAsia" w:ascii="宋体" w:hAnsi="宋体" w:eastAsia="宋体" w:cs="宋体"/>
          <w:b/>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bCs w:val="0"/>
          <w:color w:val="000000" w:themeColor="text1"/>
          <w:kern w:val="0"/>
          <w:sz w:val="24"/>
          <w:szCs w:val="24"/>
          <w:lang w:val="en-US" w:eastAsia="zh-CN" w:bidi="ar-SA"/>
          <w14:textFill>
            <w14:solidFill>
              <w14:schemeClr w14:val="tx1"/>
            </w14:solidFill>
          </w14:textFill>
        </w:rPr>
        <w:t>6.进一步改变课堂教学模式，精心开展教学设计</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t>要想较好地培养学生的学习能力、学习习惯、学习转化能力和创新能力，应改变传统的教学模式，采用“教、学、做”一体的教学模式、翻转课堂的教学模式等，精心进行教学设计，激发学生的学习兴趣和主动性。通过线上线下、课内课外、理论和实践多角度全方位的融合交叉，把整个教学过程分为课前、课中和课后三个部分，通过设计和实施各种教学活动，实现学生课前学习、课内消化加强、课后提升，提高教学效果。</w:t>
      </w:r>
    </w:p>
    <w:p>
      <w:pPr>
        <w:pStyle w:val="5"/>
        <w:ind w:firstLine="482" w:firstLineChars="200"/>
        <w:rPr>
          <w:rFonts w:hint="eastAsia" w:ascii="宋体" w:hAnsi="宋体" w:eastAsia="宋体" w:cs="宋体"/>
          <w:b/>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bCs w:val="0"/>
          <w:color w:val="000000" w:themeColor="text1"/>
          <w:kern w:val="0"/>
          <w:sz w:val="24"/>
          <w:szCs w:val="24"/>
          <w:lang w:val="en-US" w:eastAsia="zh-CN" w:bidi="ar-SA"/>
          <w14:textFill>
            <w14:solidFill>
              <w14:schemeClr w14:val="tx1"/>
            </w14:solidFill>
          </w14:textFill>
        </w:rPr>
        <w:t xml:space="preserve">7.进一步加强教师双师素质培养，提高科研与实践技能 </w:t>
      </w:r>
    </w:p>
    <w:p>
      <w:pPr>
        <w:pStyle w:val="2"/>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t>汽车产业在变、市场需求在变、教学对象在变。作为高职院校汽车营销专业的教师，应不断完善和优化汽车营销方面的知识结构与体系，适应新的教学方向和需求。教师应随时关注最新行业政策和动态，通过培训进修等形式不断学习最新的汽车技术、销售服务理念、方法，并将这些有效地融入到教学中去，在不断的实践，探索、研究中发现问题、解决问题，提高教育教学水平和质量。</w:t>
      </w:r>
    </w:p>
    <w:p>
      <w:pPr>
        <w:pStyle w:val="2"/>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t>同时学校和企业可依托“订单”培养，实现校企双方“岗位互聘、互通”的双师素质与兼职教师队伍运行机制，引进企业汽车营销一线员工或能手为“兼职”特聘教师，与专职教师协同开展教学工作和教学研究。</w:t>
      </w:r>
    </w:p>
    <w:p>
      <w:pPr>
        <w:pStyle w:val="2"/>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t>执行</w:t>
      </w:r>
      <w:bookmarkStart w:id="14" w:name="_Hlk33369003"/>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t>企逐步形成一支由名教师、专业带头人和一批中、青年骨干教师组成的有专业特色的“双师型”教师队伍。</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t>进一步开展以骨干教师为重点的全员培训，提高教师的教育教学能力及学历层次，提高教师专业技术职务资格。</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t>鼓励教师参加校内研究课、学科交流等活动。</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t>一线教师要承担科研课题，在探索实践中提高自身的科研能力及教育教学质量。使教师自身由经验型向学者型、探索型、综合型转变。</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t>促进教师对校本教材进行开发，实施学校与企业互派教师制度，定期委派专业教师到各合作企业实习，大力培养双师型教师。</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t xml:space="preserve">实施青年教师及骨干教师培养工程。 </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t>健全教师岗位评估、聘任以及奖励制度。</w:t>
      </w:r>
    </w:p>
    <w:p>
      <w:pPr>
        <w:pStyle w:val="2"/>
        <w:keepNext w:val="0"/>
        <w:keepLines w:val="0"/>
        <w:pageBreakBefore w:val="0"/>
        <w:widowControl w:val="0"/>
        <w:numPr>
          <w:numId w:val="0"/>
        </w:numPr>
        <w:kinsoku/>
        <w:wordWrap/>
        <w:overflowPunct/>
        <w:topLinePunct w:val="0"/>
        <w:autoSpaceDE/>
        <w:autoSpaceDN/>
        <w:bidi w:val="0"/>
        <w:adjustRightInd/>
        <w:snapToGrid/>
        <w:spacing w:before="157" w:beforeLines="50" w:after="157" w:afterLines="50" w:line="360" w:lineRule="auto"/>
        <w:ind w:firstLine="482" w:firstLineChars="200"/>
        <w:textAlignment w:val="auto"/>
        <w:rPr>
          <w:rFonts w:hint="eastAsia" w:ascii="宋体" w:hAnsi="宋体" w:eastAsia="宋体" w:cs="宋体"/>
          <w:b/>
          <w:bCs w:val="0"/>
          <w:color w:val="000000" w:themeColor="text1"/>
          <w:kern w:val="0"/>
          <w:sz w:val="24"/>
          <w:szCs w:val="24"/>
          <w:lang w:val="en-US" w:eastAsia="zh-CN" w:bidi="ar-SA"/>
          <w14:textFill>
            <w14:solidFill>
              <w14:schemeClr w14:val="tx1"/>
            </w14:solidFill>
          </w14:textFill>
        </w:rPr>
      </w:pPr>
      <w:r>
        <w:rPr>
          <w:rFonts w:hint="eastAsia" w:ascii="宋体" w:hAnsi="宋体" w:cs="宋体"/>
          <w:b/>
          <w:bCs w:val="0"/>
          <w:color w:val="000000" w:themeColor="text1"/>
          <w:kern w:val="0"/>
          <w:sz w:val="24"/>
          <w:szCs w:val="24"/>
          <w:lang w:val="en-US" w:eastAsia="zh-CN" w:bidi="ar-SA"/>
          <w14:textFill>
            <w14:solidFill>
              <w14:schemeClr w14:val="tx1"/>
            </w14:solidFill>
          </w14:textFill>
        </w:rPr>
        <w:t>8.</w:t>
      </w:r>
      <w:r>
        <w:rPr>
          <w:rFonts w:hint="eastAsia" w:ascii="宋体" w:hAnsi="宋体" w:eastAsia="宋体" w:cs="宋体"/>
          <w:b/>
          <w:bCs w:val="0"/>
          <w:color w:val="000000" w:themeColor="text1"/>
          <w:kern w:val="0"/>
          <w:sz w:val="24"/>
          <w:szCs w:val="24"/>
          <w:lang w:val="en-US" w:eastAsia="zh-CN" w:bidi="ar-SA"/>
          <w14:textFill>
            <w14:solidFill>
              <w14:schemeClr w14:val="tx1"/>
            </w14:solidFill>
          </w14:textFill>
        </w:rPr>
        <w:t>对标行业行为准则和规范</w:t>
      </w:r>
      <w:bookmarkEnd w:id="14"/>
      <w:r>
        <w:rPr>
          <w:rFonts w:hint="eastAsia" w:ascii="宋体" w:hAnsi="宋体" w:eastAsia="宋体" w:cs="宋体"/>
          <w:b/>
          <w:bCs w:val="0"/>
          <w:color w:val="000000" w:themeColor="text1"/>
          <w:kern w:val="0"/>
          <w:sz w:val="24"/>
          <w:szCs w:val="24"/>
          <w:lang w:val="en-US" w:eastAsia="zh-CN" w:bidi="ar-SA"/>
          <w14:textFill>
            <w14:solidFill>
              <w14:schemeClr w14:val="tx1"/>
            </w14:solidFill>
          </w14:textFill>
        </w:rPr>
        <w:t>，完善专业文化行为体系</w:t>
      </w:r>
    </w:p>
    <w:p>
      <w:pPr>
        <w:pStyle w:val="2"/>
        <w:keepNext w:val="0"/>
        <w:keepLines w:val="0"/>
        <w:pageBreakBefore w:val="0"/>
        <w:widowControl w:val="0"/>
        <w:numPr>
          <w:numId w:val="0"/>
        </w:numPr>
        <w:kinsoku/>
        <w:wordWrap/>
        <w:overflowPunct/>
        <w:topLinePunct w:val="0"/>
        <w:autoSpaceDE/>
        <w:autoSpaceDN/>
        <w:bidi w:val="0"/>
        <w:adjustRightInd/>
        <w:snapToGrid/>
        <w:spacing w:before="313" w:beforeLines="100" w:after="313" w:afterLines="100" w:line="360" w:lineRule="auto"/>
        <w:ind w:firstLine="480" w:firstLineChars="200"/>
        <w:textAlignment w:val="auto"/>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t>培养的学生要想能够满足行业、企业的需求，实现教育与就业的无缝对接。在培养的过程中，应以企业的行为准则和规范为指导，不断地完善学生的专业文化行为体系。企业行为准则是企业员工履责行权时所应遵循的基本原则。企业行为规范是指由目标体系和</w:t>
      </w: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fldChar w:fldCharType="begin"/>
      </w: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instrText xml:space="preserve"> HYPERLINK "https://wiki.mbalib.com/wiki/%E4%BB%B7%E5%80%BC%E8%A7%82%E5%BF%B5" \o "价值观念" </w:instrText>
      </w: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fldChar w:fldCharType="separate"/>
      </w: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t>价值观念</w:t>
      </w: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fldChar w:fldCharType="end"/>
      </w: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t>所决定的企业</w:t>
      </w: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fldChar w:fldCharType="begin"/>
      </w: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instrText xml:space="preserve"> HYPERLINK "https://wiki.mbalib.com/wiki/%E5%91%98%E5%B7%A5" \o "员工" </w:instrText>
      </w: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fldChar w:fldCharType="separate"/>
      </w: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t>员工</w:t>
      </w: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fldChar w:fldCharType="end"/>
      </w: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t>所特有的</w:t>
      </w: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fldChar w:fldCharType="begin"/>
      </w: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instrText xml:space="preserve"> HYPERLINK "https://wiki.mbalib.com/wiki/%E5%B7%A5%E4%BD%9C%E6%80%81%E5%BA%A6" \o "工作态度" </w:instrText>
      </w: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fldChar w:fldCharType="separate"/>
      </w: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t>工作态度</w:t>
      </w: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fldChar w:fldCharType="end"/>
      </w: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t>和行为方式。高职汽车专业应从</w:t>
      </w: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fldChar w:fldCharType="begin"/>
      </w: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instrText xml:space="preserve"> HYPERLINK "https://wiki.mbalib.com/wiki/%E8%81%8C%E4%B8%9A%E9%81%93%E5%BE%B7" \o "职业道德" </w:instrText>
      </w: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fldChar w:fldCharType="separate"/>
      </w: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t>职业道德</w:t>
      </w: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fldChar w:fldCharType="end"/>
      </w: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t>、工作纪律、工作态度、工作作风、</w:t>
      </w: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fldChar w:fldCharType="begin"/>
      </w: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instrText xml:space="preserve"> HYPERLINK "https://wiki.mbalib.com/wiki/%E6%95%AC%E4%B8%9A%E7%B2%BE%E7%A5%9E" \o "敬业精神" </w:instrText>
      </w: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fldChar w:fldCharType="separate"/>
      </w: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t>敬业精神</w:t>
      </w: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fldChar w:fldCharType="end"/>
      </w: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t>、团结协作精神、探索创新等方面进行专业文化行为体系建设。比如建立严格的诚信、考勤制度；制定严格的学生课堂行为准则和规范；制定规范的学生着装、言行及态度标准；制定学生综合素质分的评价指标和评比规则；完善教师职业准则和规范，发挥好言传身教的作用等，形成以专业文化为指引的专业行为准则和体系。</w:t>
      </w:r>
    </w:p>
    <w:p>
      <w:pPr>
        <w:pageBreakBefore w:val="0"/>
        <w:widowControl/>
        <w:kinsoku/>
        <w:wordWrap/>
        <w:overflowPunct/>
        <w:topLinePunct w:val="0"/>
        <w:autoSpaceDE/>
        <w:autoSpaceDN/>
        <w:bidi w:val="0"/>
        <w:adjustRightInd/>
        <w:snapToGrid/>
        <w:spacing w:before="157" w:beforeLines="50" w:beforeAutospacing="0" w:after="157" w:afterLines="50" w:afterAutospacing="0" w:line="360" w:lineRule="auto"/>
        <w:ind w:firstLine="482" w:firstLineChars="200"/>
        <w:jc w:val="left"/>
        <w:textAlignment w:val="auto"/>
        <w:outlineLvl w:val="2"/>
        <w:rPr>
          <w:rFonts w:hint="eastAsia" w:ascii="宋体" w:hAnsi="宋体" w:eastAsia="宋体" w:cs="宋体"/>
          <w:b/>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bCs w:val="0"/>
          <w:color w:val="000000" w:themeColor="text1"/>
          <w:kern w:val="0"/>
          <w:sz w:val="24"/>
          <w:szCs w:val="24"/>
          <w:lang w:val="en-US" w:eastAsia="zh-CN" w:bidi="ar-SA"/>
          <w14:textFill>
            <w14:solidFill>
              <w14:schemeClr w14:val="tx1"/>
            </w14:solidFill>
          </w14:textFill>
        </w:rPr>
        <w:t>9.进一步发展第二课堂，丰富文化生活，推进专业文化育人</w:t>
      </w:r>
    </w:p>
    <w:p>
      <w:pPr>
        <w:pageBreakBefore w:val="0"/>
        <w:widowControl/>
        <w:kinsoku/>
        <w:wordWrap/>
        <w:overflowPunct/>
        <w:topLinePunct w:val="0"/>
        <w:autoSpaceDE/>
        <w:autoSpaceDN/>
        <w:bidi w:val="0"/>
        <w:adjustRightInd/>
        <w:snapToGrid/>
        <w:spacing w:before="157" w:beforeLines="50" w:beforeAutospacing="0" w:after="157" w:afterLines="50" w:afterAutospacing="0" w:line="360" w:lineRule="auto"/>
        <w:ind w:firstLine="480" w:firstLineChars="200"/>
        <w:jc w:val="left"/>
        <w:textAlignment w:val="auto"/>
        <w:outlineLvl w:val="2"/>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t>高职汽车专业应多维度、多途径地营造专业文化环境、学习氛围，丰富学习的文化生活，实现专业文化的渗透，从而促进学生的学习兴趣和持续学习的动力。</w:t>
      </w:r>
    </w:p>
    <w:p>
      <w:pPr>
        <w:pageBreakBefore w:val="0"/>
        <w:widowControl/>
        <w:kinsoku/>
        <w:wordWrap/>
        <w:overflowPunct/>
        <w:topLinePunct w:val="0"/>
        <w:autoSpaceDE/>
        <w:autoSpaceDN/>
        <w:bidi w:val="0"/>
        <w:adjustRightInd/>
        <w:snapToGrid/>
        <w:spacing w:before="157" w:beforeLines="50" w:beforeAutospacing="0" w:after="157" w:afterLines="50" w:afterAutospacing="0" w:line="360" w:lineRule="auto"/>
        <w:ind w:firstLine="480" w:firstLineChars="200"/>
        <w:jc w:val="left"/>
        <w:textAlignment w:val="auto"/>
        <w:outlineLvl w:val="2"/>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t>（1）成立卓越汽车医生训练营和汽车专业社团</w:t>
      </w:r>
    </w:p>
    <w:p>
      <w:pPr>
        <w:pageBreakBefore w:val="0"/>
        <w:widowControl/>
        <w:kinsoku/>
        <w:wordWrap/>
        <w:overflowPunct/>
        <w:topLinePunct w:val="0"/>
        <w:autoSpaceDE/>
        <w:autoSpaceDN/>
        <w:bidi w:val="0"/>
        <w:adjustRightInd/>
        <w:snapToGrid/>
        <w:spacing w:before="157" w:beforeLines="50" w:beforeAutospacing="0" w:after="157" w:afterLines="50" w:afterAutospacing="0" w:line="360" w:lineRule="auto"/>
        <w:ind w:firstLine="480" w:firstLineChars="200"/>
        <w:jc w:val="left"/>
        <w:textAlignment w:val="auto"/>
        <w:outlineLvl w:val="2"/>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t>以南京交院汽车专业为例，其成立了卓越汽车医生训练营，主要从高年级学生中考核、选拔出文明素质良好、专业思想稳固、技术技能水平优异、创新创业能力突出的学生骨干群体，形成一个训练营。训练营主要邀请校内外各级专家、知名教授、企业成功人士、优秀校友进行授课，覆盖决策能力培训、执行能力培训、专业素质拓展、创新能力培训等，注重学科渗透，将行业的职业规范、标准融入，来带动学院专业、学风、文化建设。</w:t>
      </w:r>
    </w:p>
    <w:p>
      <w:pPr>
        <w:pageBreakBefore w:val="0"/>
        <w:widowControl/>
        <w:kinsoku/>
        <w:wordWrap/>
        <w:overflowPunct/>
        <w:topLinePunct w:val="0"/>
        <w:autoSpaceDE/>
        <w:autoSpaceDN/>
        <w:bidi w:val="0"/>
        <w:adjustRightInd/>
        <w:snapToGrid/>
        <w:spacing w:before="157" w:beforeLines="50" w:beforeAutospacing="0" w:after="157" w:afterLines="50" w:afterAutospacing="0" w:line="360" w:lineRule="auto"/>
        <w:ind w:firstLine="480" w:firstLineChars="200"/>
        <w:jc w:val="left"/>
        <w:textAlignment w:val="auto"/>
        <w:outlineLvl w:val="2"/>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t>同时该学院汽车专业在现行核心能力课程体系基础上开发汽车专业社团课程，引领高校第二课堂。主要有计算机爱好者协会、汽车商务研习社、汽车电器技术研习社、汽车发动机电控技术研习社、汽车车身修复技术研习社、汽车底盘电控技术研习社、汽车改装技术研习社等，旨在从兴趣切 入，采用导师制、问题导向模式，充分激发学生自主学习的能力。职业操守合理融入活动的方方面面，突出和强化了职业能力的培养。</w:t>
      </w:r>
    </w:p>
    <w:p>
      <w:pPr>
        <w:pageBreakBefore w:val="0"/>
        <w:widowControl/>
        <w:kinsoku/>
        <w:wordWrap/>
        <w:overflowPunct/>
        <w:topLinePunct w:val="0"/>
        <w:autoSpaceDE/>
        <w:autoSpaceDN/>
        <w:bidi w:val="0"/>
        <w:adjustRightInd/>
        <w:snapToGrid/>
        <w:spacing w:before="157" w:beforeLines="50" w:beforeAutospacing="0" w:after="157" w:afterLines="50" w:afterAutospacing="0" w:line="360" w:lineRule="auto"/>
        <w:ind w:firstLine="480" w:firstLineChars="200"/>
        <w:jc w:val="left"/>
        <w:textAlignment w:val="auto"/>
        <w:outlineLvl w:val="2"/>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t>（2）丰富校园文化生活与活动，为学生搭建专业文化认知平台</w:t>
      </w:r>
    </w:p>
    <w:p>
      <w:pPr>
        <w:pageBreakBefore w:val="0"/>
        <w:widowControl/>
        <w:kinsoku/>
        <w:wordWrap/>
        <w:overflowPunct/>
        <w:topLinePunct w:val="0"/>
        <w:autoSpaceDE/>
        <w:autoSpaceDN/>
        <w:bidi w:val="0"/>
        <w:adjustRightInd/>
        <w:snapToGrid/>
        <w:spacing w:before="157" w:beforeLines="50" w:beforeAutospacing="0" w:after="157" w:afterLines="50" w:afterAutospacing="0" w:line="360" w:lineRule="auto"/>
        <w:ind w:firstLine="480" w:firstLineChars="200"/>
        <w:jc w:val="left"/>
        <w:textAlignment w:val="auto"/>
        <w:outlineLvl w:val="2"/>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color w:val="000000" w:themeColor="text1"/>
          <w:kern w:val="0"/>
          <w:sz w:val="24"/>
          <w:szCs w:val="24"/>
          <w:lang w:val="en-US" w:eastAsia="zh-CN" w:bidi="ar-SA"/>
          <w14:textFill>
            <w14:solidFill>
              <w14:schemeClr w14:val="tx1"/>
            </w14:solidFill>
          </w14:textFill>
        </w:rPr>
        <w:t>高职汽车专业建设首先应与智慧校园、文化校园建设相结合。坚持“先做人、后读书”的教育理念优化育人校园环境。并将专业文化融入到学校环境建设的每个角落，比如建设汽车文化广场、汽车历史展示长廊，定期开展相关专业文化宣传活动、校园文化技能节、职业能力大讲坛等，营造专业文化环境，优化学习氛围，提高学生行业特征、企业精神的专业认知。其次，汽车专业可定期举办知识、技能竞赛，邀请企业专家考评，学生在情景扮演、技能操练中体验职场，促使学生逐步将专业变成兴趣，兴趣变成职业。再次可定期开展专题讲座、主题班会，专业文化宣讲会等第二课堂活动，使得学生在职业认知中树立正确的世界观、人生观和价值观。</w:t>
      </w:r>
    </w:p>
    <w:bookmarkEnd w:id="13"/>
    <w:p>
      <w:pPr>
        <w:spacing w:line="400" w:lineRule="exact"/>
        <w:rPr>
          <w:rFonts w:ascii="宋体" w:hAnsi="宋体" w:eastAsia="宋体" w:cs="宋体"/>
          <w:bCs/>
          <w:color w:val="000000"/>
          <w:kern w:val="0"/>
          <w:sz w:val="24"/>
          <w:szCs w:val="24"/>
        </w:rPr>
      </w:pPr>
    </w:p>
    <w:p>
      <w:pPr>
        <w:spacing w:line="400" w:lineRule="exact"/>
        <w:rPr>
          <w:rFonts w:ascii="宋体" w:hAnsi="宋体" w:eastAsia="宋体" w:cs="宋体"/>
          <w:bCs/>
          <w:color w:val="000000"/>
          <w:kern w:val="0"/>
          <w:sz w:val="24"/>
          <w:szCs w:val="24"/>
        </w:rPr>
      </w:pPr>
    </w:p>
    <w:p>
      <w:pPr>
        <w:pStyle w:val="4"/>
        <w:jc w:val="center"/>
        <w:rPr>
          <w:rFonts w:hint="eastAsia" w:ascii="黑体" w:hAnsi="黑体" w:eastAsia="黑体"/>
          <w:b w:val="0"/>
          <w:sz w:val="36"/>
          <w:szCs w:val="36"/>
        </w:rPr>
      </w:pPr>
      <w:bookmarkStart w:id="15" w:name="_Toc131002806"/>
    </w:p>
    <w:p>
      <w:pPr>
        <w:pStyle w:val="4"/>
        <w:jc w:val="center"/>
        <w:rPr>
          <w:rFonts w:hint="eastAsia" w:ascii="黑体" w:hAnsi="黑体" w:eastAsia="黑体"/>
          <w:b w:val="0"/>
          <w:sz w:val="36"/>
          <w:szCs w:val="36"/>
        </w:rPr>
      </w:pPr>
    </w:p>
    <w:p>
      <w:pPr>
        <w:pStyle w:val="4"/>
        <w:jc w:val="center"/>
        <w:rPr>
          <w:rFonts w:hint="eastAsia" w:ascii="黑体" w:hAnsi="黑体" w:eastAsia="黑体"/>
          <w:b w:val="0"/>
          <w:sz w:val="36"/>
          <w:szCs w:val="36"/>
        </w:rPr>
      </w:pPr>
    </w:p>
    <w:p>
      <w:pPr>
        <w:pStyle w:val="4"/>
        <w:jc w:val="center"/>
        <w:rPr>
          <w:rFonts w:hint="eastAsia" w:ascii="黑体" w:hAnsi="黑体" w:eastAsia="黑体"/>
          <w:b w:val="0"/>
          <w:sz w:val="36"/>
          <w:szCs w:val="36"/>
        </w:rPr>
      </w:pPr>
    </w:p>
    <w:p>
      <w:pPr>
        <w:pStyle w:val="4"/>
        <w:jc w:val="center"/>
        <w:rPr>
          <w:rFonts w:hint="eastAsia" w:ascii="黑体" w:hAnsi="黑体" w:eastAsia="黑体"/>
          <w:b w:val="0"/>
          <w:sz w:val="36"/>
          <w:szCs w:val="36"/>
        </w:rPr>
      </w:pPr>
    </w:p>
    <w:p>
      <w:pPr>
        <w:pStyle w:val="4"/>
        <w:jc w:val="center"/>
        <w:rPr>
          <w:rFonts w:hint="eastAsia" w:ascii="黑体" w:hAnsi="黑体" w:eastAsia="黑体"/>
          <w:b w:val="0"/>
          <w:sz w:val="36"/>
          <w:szCs w:val="36"/>
        </w:rPr>
      </w:pPr>
    </w:p>
    <w:p>
      <w:pPr>
        <w:pStyle w:val="4"/>
        <w:jc w:val="center"/>
        <w:rPr>
          <w:rFonts w:hint="eastAsia" w:ascii="黑体" w:hAnsi="黑体" w:eastAsia="黑体"/>
          <w:b w:val="0"/>
          <w:sz w:val="36"/>
          <w:szCs w:val="36"/>
        </w:rPr>
      </w:pPr>
    </w:p>
    <w:p>
      <w:pPr>
        <w:pStyle w:val="4"/>
        <w:jc w:val="center"/>
        <w:rPr>
          <w:rFonts w:hint="eastAsia" w:ascii="黑体" w:hAnsi="黑体" w:eastAsia="黑体"/>
          <w:b w:val="0"/>
          <w:sz w:val="36"/>
          <w:szCs w:val="36"/>
        </w:rPr>
      </w:pPr>
    </w:p>
    <w:p>
      <w:pPr>
        <w:pStyle w:val="4"/>
        <w:jc w:val="center"/>
        <w:rPr>
          <w:rFonts w:hint="eastAsia" w:ascii="黑体" w:hAnsi="黑体" w:eastAsia="黑体"/>
          <w:b w:val="0"/>
          <w:sz w:val="36"/>
          <w:szCs w:val="36"/>
        </w:rPr>
      </w:pPr>
    </w:p>
    <w:p>
      <w:pPr>
        <w:pStyle w:val="4"/>
        <w:jc w:val="center"/>
        <w:rPr>
          <w:rFonts w:hint="eastAsia" w:ascii="黑体" w:hAnsi="黑体" w:eastAsia="黑体"/>
          <w:b w:val="0"/>
          <w:sz w:val="36"/>
          <w:szCs w:val="36"/>
        </w:rPr>
      </w:pPr>
    </w:p>
    <w:p>
      <w:pPr>
        <w:pStyle w:val="4"/>
        <w:jc w:val="center"/>
        <w:rPr>
          <w:rFonts w:hint="eastAsia" w:ascii="黑体" w:hAnsi="黑体" w:eastAsia="黑体"/>
          <w:b w:val="0"/>
          <w:sz w:val="36"/>
          <w:szCs w:val="36"/>
        </w:rPr>
      </w:pPr>
    </w:p>
    <w:p>
      <w:pPr>
        <w:pStyle w:val="4"/>
        <w:jc w:val="center"/>
        <w:rPr>
          <w:rFonts w:hint="eastAsia" w:ascii="黑体" w:hAnsi="黑体" w:eastAsia="黑体"/>
          <w:b w:val="0"/>
          <w:sz w:val="36"/>
          <w:szCs w:val="36"/>
        </w:rPr>
      </w:pPr>
    </w:p>
    <w:p>
      <w:pPr>
        <w:pStyle w:val="4"/>
        <w:jc w:val="center"/>
        <w:rPr>
          <w:rFonts w:hint="eastAsia" w:ascii="黑体" w:hAnsi="黑体" w:eastAsia="黑体"/>
          <w:b w:val="0"/>
          <w:sz w:val="36"/>
          <w:szCs w:val="36"/>
        </w:rPr>
      </w:pPr>
    </w:p>
    <w:p>
      <w:pPr>
        <w:pStyle w:val="4"/>
        <w:jc w:val="center"/>
        <w:rPr>
          <w:rFonts w:ascii="黑体" w:hAnsi="黑体" w:eastAsia="黑体"/>
          <w:b w:val="0"/>
          <w:sz w:val="36"/>
          <w:szCs w:val="36"/>
        </w:rPr>
      </w:pPr>
      <w:bookmarkStart w:id="17" w:name="_GoBack"/>
      <w:bookmarkEnd w:id="17"/>
      <w:r>
        <w:rPr>
          <w:rFonts w:hint="eastAsia" w:ascii="黑体" w:hAnsi="黑体" w:eastAsia="黑体"/>
          <w:b w:val="0"/>
          <w:sz w:val="36"/>
          <w:szCs w:val="36"/>
        </w:rPr>
        <w:t>结    语</w:t>
      </w:r>
      <w:bookmarkEnd w:id="15"/>
    </w:p>
    <w:p>
      <w:pPr>
        <w:spacing w:line="400" w:lineRule="exact"/>
        <w:ind w:firstLine="480" w:firstLineChars="200"/>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汽车是我国的支柱产业。随着汽车保有量的不断增长，汽车后市场人才需求紧缺。随着汽车技术</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lang w:val="en-US" w:eastAsia="zh-CN"/>
        </w:rPr>
        <w:t>营销模式，销售者购买行为等的升级转变，</w:t>
      </w:r>
      <w:r>
        <w:rPr>
          <w:rFonts w:hint="eastAsia" w:ascii="宋体" w:hAnsi="宋体" w:eastAsia="宋体" w:cs="宋体"/>
          <w:bCs/>
          <w:color w:val="000000"/>
          <w:kern w:val="0"/>
          <w:sz w:val="24"/>
          <w:szCs w:val="24"/>
        </w:rPr>
        <w:t>汽车后市场对汽车服务类人才的要求，特别是对汽车</w:t>
      </w:r>
      <w:r>
        <w:rPr>
          <w:rFonts w:hint="eastAsia" w:ascii="宋体" w:hAnsi="宋体" w:eastAsia="宋体" w:cs="宋体"/>
          <w:bCs/>
          <w:color w:val="000000"/>
          <w:kern w:val="0"/>
          <w:sz w:val="24"/>
          <w:szCs w:val="24"/>
          <w:lang w:val="en-US" w:eastAsia="zh-CN"/>
        </w:rPr>
        <w:t>技术营销服务</w:t>
      </w:r>
      <w:r>
        <w:rPr>
          <w:rFonts w:hint="eastAsia" w:ascii="宋体" w:hAnsi="宋体" w:eastAsia="宋体" w:cs="宋体"/>
          <w:bCs/>
          <w:color w:val="000000"/>
          <w:kern w:val="0"/>
          <w:sz w:val="24"/>
          <w:szCs w:val="24"/>
        </w:rPr>
        <w:t>人才的要求也越来越高。</w:t>
      </w:r>
    </w:p>
    <w:p>
      <w:pPr>
        <w:spacing w:line="400" w:lineRule="exact"/>
        <w:ind w:firstLine="480" w:firstLineChars="200"/>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我们希望通过调研，与企业紧密合作，了解各学校该专业的实际情况，充分掌握行业和主管部门的指导精神，使得人才培养模式和课程体系建设、实训室建设师资队伍建设以及社会服务能力等方面符合企业的用人需求，满足社会的期望。以职业岗位需求为依据，根据行业、企业职业岗位人才的知识结构、能力结构的需求确定培养目标，构建专业课程体系和课程教学内容，为制定全省汽车</w:t>
      </w:r>
      <w:r>
        <w:rPr>
          <w:rFonts w:hint="eastAsia" w:ascii="宋体" w:hAnsi="宋体" w:eastAsia="宋体" w:cs="宋体"/>
          <w:bCs/>
          <w:color w:val="000000"/>
          <w:kern w:val="0"/>
          <w:sz w:val="24"/>
          <w:szCs w:val="24"/>
          <w:lang w:val="en-US" w:eastAsia="zh-CN"/>
        </w:rPr>
        <w:t>技术服务与营销</w:t>
      </w:r>
      <w:r>
        <w:rPr>
          <w:rFonts w:hint="eastAsia" w:ascii="宋体" w:hAnsi="宋体" w:eastAsia="宋体" w:cs="宋体"/>
          <w:bCs/>
          <w:color w:val="000000"/>
          <w:kern w:val="0"/>
          <w:sz w:val="24"/>
          <w:szCs w:val="24"/>
        </w:rPr>
        <w:t>专业的指导性人才培养方案提供科学的支撑。</w:t>
      </w:r>
    </w:p>
    <w:p>
      <w:pPr>
        <w:spacing w:line="400" w:lineRule="exact"/>
        <w:ind w:firstLine="480" w:firstLineChars="200"/>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本次调研由</w:t>
      </w:r>
      <w:r>
        <w:rPr>
          <w:rFonts w:ascii="宋体" w:hAnsi="宋体" w:eastAsia="宋体" w:cs="宋体"/>
          <w:bCs/>
          <w:color w:val="000000"/>
          <w:kern w:val="0"/>
          <w:sz w:val="24"/>
          <w:szCs w:val="24"/>
        </w:rPr>
        <w:t>汽车维修行业协会</w:t>
      </w:r>
      <w:r>
        <w:rPr>
          <w:rFonts w:hint="eastAsia" w:ascii="宋体" w:hAnsi="宋体" w:eastAsia="宋体" w:cs="宋体"/>
          <w:bCs/>
          <w:color w:val="000000"/>
          <w:kern w:val="0"/>
          <w:sz w:val="24"/>
          <w:szCs w:val="24"/>
        </w:rPr>
        <w:t>、众多</w:t>
      </w:r>
      <w:r>
        <w:rPr>
          <w:rFonts w:ascii="宋体" w:hAnsi="宋体" w:eastAsia="宋体" w:cs="宋体"/>
          <w:bCs/>
          <w:color w:val="000000"/>
          <w:kern w:val="0"/>
          <w:sz w:val="24"/>
          <w:szCs w:val="24"/>
        </w:rPr>
        <w:t>维修企业提供</w:t>
      </w:r>
      <w:r>
        <w:rPr>
          <w:rFonts w:hint="eastAsia" w:ascii="宋体" w:hAnsi="宋体" w:eastAsia="宋体" w:cs="宋体"/>
          <w:bCs/>
          <w:color w:val="000000"/>
          <w:kern w:val="0"/>
          <w:sz w:val="24"/>
          <w:szCs w:val="24"/>
        </w:rPr>
        <w:t>了</w:t>
      </w:r>
      <w:r>
        <w:rPr>
          <w:rFonts w:ascii="宋体" w:hAnsi="宋体" w:eastAsia="宋体" w:cs="宋体"/>
          <w:bCs/>
          <w:color w:val="000000"/>
          <w:kern w:val="0"/>
          <w:sz w:val="24"/>
          <w:szCs w:val="24"/>
        </w:rPr>
        <w:t>帮助和支持</w:t>
      </w:r>
      <w:r>
        <w:rPr>
          <w:rFonts w:hint="eastAsia" w:ascii="宋体" w:hAnsi="宋体" w:eastAsia="宋体" w:cs="宋体"/>
          <w:bCs/>
          <w:color w:val="000000"/>
          <w:kern w:val="0"/>
          <w:sz w:val="24"/>
          <w:szCs w:val="24"/>
        </w:rPr>
        <w:t>，在此，对他们表示感谢！</w:t>
      </w:r>
    </w:p>
    <w:p>
      <w:pPr>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br w:type="page"/>
      </w:r>
    </w:p>
    <w:p>
      <w:pPr>
        <w:pStyle w:val="4"/>
        <w:jc w:val="center"/>
        <w:rPr>
          <w:rFonts w:ascii="黑体" w:hAnsi="黑体" w:eastAsia="黑体"/>
          <w:b w:val="0"/>
          <w:sz w:val="36"/>
          <w:szCs w:val="36"/>
        </w:rPr>
      </w:pPr>
      <w:bookmarkStart w:id="16" w:name="_Toc131002807"/>
      <w:r>
        <w:rPr>
          <w:rFonts w:hint="eastAsia" w:ascii="黑体" w:hAnsi="黑体" w:eastAsia="黑体"/>
          <w:b w:val="0"/>
          <w:sz w:val="36"/>
          <w:szCs w:val="36"/>
        </w:rPr>
        <w:t>参考文献</w:t>
      </w:r>
      <w:bookmarkEnd w:id="16"/>
    </w:p>
    <w:p>
      <w:pPr>
        <w:spacing w:line="560" w:lineRule="exact"/>
        <w:rPr>
          <w:rFonts w:ascii="华文仿宋" w:hAnsi="华文仿宋" w:eastAsia="华文仿宋" w:cs="Times New Roman"/>
          <w:bCs/>
          <w:color w:val="000000"/>
          <w:kern w:val="0"/>
          <w:sz w:val="28"/>
          <w:szCs w:val="28"/>
        </w:rPr>
      </w:pPr>
      <w:r>
        <w:rPr>
          <w:rFonts w:ascii="华文仿宋" w:hAnsi="华文仿宋" w:eastAsia="华文仿宋" w:cs="Times New Roman"/>
          <w:bCs/>
          <w:color w:val="000000"/>
          <w:kern w:val="0"/>
          <w:sz w:val="28"/>
          <w:szCs w:val="28"/>
        </w:rPr>
        <w:t>1.</w:t>
      </w:r>
      <w:r>
        <w:rPr>
          <w:rFonts w:hint="eastAsia" w:ascii="华文仿宋" w:hAnsi="华文仿宋" w:eastAsia="华文仿宋" w:cs="Times New Roman"/>
          <w:bCs/>
          <w:color w:val="000000"/>
          <w:kern w:val="0"/>
          <w:sz w:val="28"/>
          <w:szCs w:val="28"/>
        </w:rPr>
        <w:t>2019中国高等职业教育质量年度报告，上海市教育科学研究院、麦可思研究院，高等教育出版社，201</w:t>
      </w:r>
      <w:r>
        <w:rPr>
          <w:rFonts w:ascii="华文仿宋" w:hAnsi="华文仿宋" w:eastAsia="华文仿宋" w:cs="Times New Roman"/>
          <w:bCs/>
          <w:color w:val="000000"/>
          <w:kern w:val="0"/>
          <w:sz w:val="28"/>
          <w:szCs w:val="28"/>
        </w:rPr>
        <w:t>9.</w:t>
      </w:r>
      <w:r>
        <w:rPr>
          <w:rFonts w:hint="eastAsia" w:ascii="华文仿宋" w:hAnsi="华文仿宋" w:eastAsia="华文仿宋" w:cs="Times New Roman"/>
          <w:bCs/>
          <w:color w:val="000000"/>
          <w:kern w:val="0"/>
          <w:sz w:val="28"/>
          <w:szCs w:val="28"/>
        </w:rPr>
        <w:t>6</w:t>
      </w:r>
    </w:p>
    <w:p>
      <w:pPr>
        <w:spacing w:line="560" w:lineRule="exact"/>
        <w:rPr>
          <w:rFonts w:ascii="华文仿宋" w:hAnsi="华文仿宋" w:eastAsia="华文仿宋" w:cs="Times New Roman"/>
          <w:bCs/>
          <w:color w:val="000000"/>
          <w:kern w:val="0"/>
          <w:sz w:val="28"/>
          <w:szCs w:val="28"/>
        </w:rPr>
      </w:pPr>
      <w:r>
        <w:rPr>
          <w:rFonts w:hint="eastAsia" w:ascii="华文仿宋" w:hAnsi="华文仿宋" w:eastAsia="华文仿宋" w:cs="Times New Roman"/>
          <w:bCs/>
          <w:color w:val="000000"/>
          <w:kern w:val="0"/>
          <w:sz w:val="28"/>
          <w:szCs w:val="28"/>
        </w:rPr>
        <w:t>2</w:t>
      </w:r>
      <w:r>
        <w:rPr>
          <w:rFonts w:ascii="华文仿宋" w:hAnsi="华文仿宋" w:eastAsia="华文仿宋" w:cs="Times New Roman"/>
          <w:bCs/>
          <w:color w:val="000000"/>
          <w:kern w:val="0"/>
          <w:sz w:val="28"/>
          <w:szCs w:val="28"/>
        </w:rPr>
        <w:t>.</w:t>
      </w:r>
      <w:r>
        <w:rPr>
          <w:rFonts w:hint="eastAsia" w:ascii="华文仿宋" w:hAnsi="华文仿宋" w:eastAsia="华文仿宋" w:cs="Times New Roman"/>
          <w:bCs/>
          <w:color w:val="000000"/>
          <w:kern w:val="0"/>
          <w:sz w:val="28"/>
          <w:szCs w:val="28"/>
        </w:rPr>
        <w:t>汽车运用与维修专业人才需求与专业建设调研报告，甘成君，职业技术，2</w:t>
      </w:r>
      <w:r>
        <w:rPr>
          <w:rFonts w:ascii="华文仿宋" w:hAnsi="华文仿宋" w:eastAsia="华文仿宋" w:cs="Times New Roman"/>
          <w:bCs/>
          <w:color w:val="000000"/>
          <w:kern w:val="0"/>
          <w:sz w:val="28"/>
          <w:szCs w:val="28"/>
        </w:rPr>
        <w:t>020.3</w:t>
      </w:r>
    </w:p>
    <w:p>
      <w:pPr>
        <w:spacing w:line="560" w:lineRule="exact"/>
        <w:rPr>
          <w:rFonts w:ascii="华文仿宋" w:hAnsi="华文仿宋" w:eastAsia="华文仿宋" w:cs="Times New Roman"/>
          <w:bCs/>
          <w:color w:val="000000"/>
          <w:kern w:val="0"/>
          <w:sz w:val="28"/>
          <w:szCs w:val="28"/>
        </w:rPr>
      </w:pPr>
      <w:r>
        <w:rPr>
          <w:rFonts w:ascii="华文仿宋" w:hAnsi="华文仿宋" w:eastAsia="华文仿宋" w:cs="Times New Roman"/>
          <w:bCs/>
          <w:color w:val="000000"/>
          <w:kern w:val="0"/>
          <w:sz w:val="28"/>
          <w:szCs w:val="28"/>
        </w:rPr>
        <w:t>2.</w:t>
      </w:r>
      <w:r>
        <w:rPr>
          <w:rFonts w:hint="eastAsia" w:ascii="华文仿宋" w:hAnsi="华文仿宋" w:eastAsia="华文仿宋" w:cs="Times New Roman"/>
          <w:bCs/>
          <w:color w:val="000000"/>
          <w:kern w:val="0"/>
          <w:sz w:val="28"/>
          <w:szCs w:val="28"/>
        </w:rPr>
        <w:t>2020中国职业教育质量年度报告，中国教育科学研究院编写组</w:t>
      </w:r>
    </w:p>
    <w:p>
      <w:pPr>
        <w:pStyle w:val="2"/>
        <w:ind w:left="0" w:leftChars="0" w:firstLine="0" w:firstLineChars="0"/>
        <w:rPr>
          <w:rFonts w:hint="default"/>
          <w:lang w:val="en-US" w:eastAsia="zh-CN"/>
        </w:rPr>
      </w:pPr>
    </w:p>
    <w:sectPr>
      <w:footerReference r:id="rId3" w:type="default"/>
      <w:pgSz w:w="11906" w:h="16838"/>
      <w:pgMar w:top="1440" w:right="1633" w:bottom="1440" w:left="1633"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大标宋简体">
    <w:altName w:val="微软雅黑"/>
    <w:panose1 w:val="02000000000000000000"/>
    <w:charset w:val="86"/>
    <w:family w:val="auto"/>
    <w:pitch w:val="default"/>
    <w:sig w:usb0="00000000" w:usb1="00000000" w:usb2="00000012"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MicrosoftYaHeiUILight">
    <w:altName w:val="宋体"/>
    <w:panose1 w:val="00000000000000000000"/>
    <w:charset w:val="86"/>
    <w:family w:val="auto"/>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7F3F9F"/>
    <w:multiLevelType w:val="singleLevel"/>
    <w:tmpl w:val="C37F3F9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YzU2NDZlZWRhZGY1YzdjNGExMDUwNGJjODllMjkifQ=="/>
  </w:docVars>
  <w:rsids>
    <w:rsidRoot w:val="00000000"/>
    <w:rsid w:val="014B3B89"/>
    <w:rsid w:val="02710DDB"/>
    <w:rsid w:val="02F456F2"/>
    <w:rsid w:val="04E008CD"/>
    <w:rsid w:val="05662655"/>
    <w:rsid w:val="06274ABE"/>
    <w:rsid w:val="0766035D"/>
    <w:rsid w:val="07F4584C"/>
    <w:rsid w:val="09EB65C7"/>
    <w:rsid w:val="0B205A69"/>
    <w:rsid w:val="0BA467BC"/>
    <w:rsid w:val="0BDF05C2"/>
    <w:rsid w:val="0D381BE1"/>
    <w:rsid w:val="0DBA0D48"/>
    <w:rsid w:val="0DF522C3"/>
    <w:rsid w:val="0EF71D88"/>
    <w:rsid w:val="106B4B1A"/>
    <w:rsid w:val="11913A22"/>
    <w:rsid w:val="17A252C5"/>
    <w:rsid w:val="182F78DF"/>
    <w:rsid w:val="19B53E73"/>
    <w:rsid w:val="1B965141"/>
    <w:rsid w:val="1C940F54"/>
    <w:rsid w:val="1D083733"/>
    <w:rsid w:val="1D4330A6"/>
    <w:rsid w:val="1D70551D"/>
    <w:rsid w:val="1DDC2BB3"/>
    <w:rsid w:val="202A7E2E"/>
    <w:rsid w:val="21162880"/>
    <w:rsid w:val="2519649B"/>
    <w:rsid w:val="26330BCD"/>
    <w:rsid w:val="26EA27E4"/>
    <w:rsid w:val="2A2167DA"/>
    <w:rsid w:val="2A2C4823"/>
    <w:rsid w:val="2A4A087B"/>
    <w:rsid w:val="2E144AF5"/>
    <w:rsid w:val="2F8F5CD7"/>
    <w:rsid w:val="306A65B1"/>
    <w:rsid w:val="33576B0C"/>
    <w:rsid w:val="34052A0C"/>
    <w:rsid w:val="3502208C"/>
    <w:rsid w:val="353D7F83"/>
    <w:rsid w:val="36B021C7"/>
    <w:rsid w:val="3A8E2EE1"/>
    <w:rsid w:val="3ACA22B9"/>
    <w:rsid w:val="3B443E1A"/>
    <w:rsid w:val="3BC1190E"/>
    <w:rsid w:val="3BC16A63"/>
    <w:rsid w:val="3BF61FFF"/>
    <w:rsid w:val="3D7D1865"/>
    <w:rsid w:val="3E2241BA"/>
    <w:rsid w:val="3FCB2D5B"/>
    <w:rsid w:val="41DF2AEE"/>
    <w:rsid w:val="42152D3B"/>
    <w:rsid w:val="428E0D74"/>
    <w:rsid w:val="43651AEE"/>
    <w:rsid w:val="4BF74ED8"/>
    <w:rsid w:val="4C4E03D8"/>
    <w:rsid w:val="4CF5766A"/>
    <w:rsid w:val="4E4D0AC1"/>
    <w:rsid w:val="50D342E4"/>
    <w:rsid w:val="5248023B"/>
    <w:rsid w:val="52701526"/>
    <w:rsid w:val="52B824C7"/>
    <w:rsid w:val="538F4344"/>
    <w:rsid w:val="54554E92"/>
    <w:rsid w:val="54C3776F"/>
    <w:rsid w:val="54E14033"/>
    <w:rsid w:val="575010F7"/>
    <w:rsid w:val="57B5606C"/>
    <w:rsid w:val="57B679F5"/>
    <w:rsid w:val="59D97050"/>
    <w:rsid w:val="5AB21245"/>
    <w:rsid w:val="5B9964EB"/>
    <w:rsid w:val="5E664BC1"/>
    <w:rsid w:val="5EFA466C"/>
    <w:rsid w:val="630F4C04"/>
    <w:rsid w:val="63B35E5D"/>
    <w:rsid w:val="64A01AF7"/>
    <w:rsid w:val="68540EE4"/>
    <w:rsid w:val="690C34DE"/>
    <w:rsid w:val="69417DFF"/>
    <w:rsid w:val="6BD63835"/>
    <w:rsid w:val="6DF2413B"/>
    <w:rsid w:val="6FCC7FE0"/>
    <w:rsid w:val="706C2EEF"/>
    <w:rsid w:val="71F678CA"/>
    <w:rsid w:val="73CB446B"/>
    <w:rsid w:val="74171487"/>
    <w:rsid w:val="74C255A0"/>
    <w:rsid w:val="754D6F27"/>
    <w:rsid w:val="774C3647"/>
    <w:rsid w:val="78D36201"/>
    <w:rsid w:val="7B4E1B6F"/>
    <w:rsid w:val="7C193158"/>
    <w:rsid w:val="7D990594"/>
    <w:rsid w:val="7E2023A9"/>
    <w:rsid w:val="7E337B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Ascii" w:hAnsiTheme="minorAscii" w:eastAsiaTheme="minorEastAsia" w:cstheme="minorBidi"/>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paragraph" w:styleId="5">
    <w:name w:val="heading 2"/>
    <w:basedOn w:val="1"/>
    <w:next w:val="1"/>
    <w:unhideWhenUsed/>
    <w:qFormat/>
    <w:uiPriority w:val="9"/>
    <w:pPr>
      <w:keepNext/>
      <w:keepLines/>
      <w:spacing w:before="260" w:after="260" w:line="416" w:lineRule="atLeast"/>
      <w:outlineLvl w:val="1"/>
    </w:pPr>
    <w:rPr>
      <w:rFonts w:asciiTheme="majorHAnsi" w:hAnsiTheme="majorHAnsi" w:eastAsiaTheme="majorEastAsia" w:cstheme="majorBidi"/>
      <w:b/>
      <w:bCs/>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80" w:firstLineChars="200"/>
    </w:pPr>
    <w:rPr>
      <w:rFonts w:eastAsia="宋体"/>
    </w:rPr>
  </w:style>
  <w:style w:type="paragraph" w:styleId="3">
    <w:name w:val="Body Text"/>
    <w:basedOn w:val="1"/>
    <w:qFormat/>
    <w:uiPriority w:val="0"/>
    <w:pPr>
      <w:jc w:val="left"/>
    </w:pPr>
    <w:rPr>
      <w:rFonts w:eastAsia="方正大标宋简体"/>
    </w:rPr>
  </w:style>
  <w:style w:type="paragraph" w:styleId="6">
    <w:name w:val="Plain Text"/>
    <w:basedOn w:val="1"/>
    <w:qFormat/>
    <w:uiPriority w:val="0"/>
    <w:rPr>
      <w:rFonts w:hAnsi="Courier New" w:cs="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spacing w:before="100" w:beforeAutospacing="1" w:after="100" w:afterAutospacing="1"/>
    </w:p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b/>
      <w:bCs/>
    </w:rPr>
  </w:style>
  <w:style w:type="character" w:styleId="14">
    <w:name w:val="page number"/>
    <w:basedOn w:val="12"/>
    <w:qFormat/>
    <w:uiPriority w:val="0"/>
  </w:style>
  <w:style w:type="character" w:customStyle="1" w:styleId="15">
    <w:name w:val="NormalCharacter"/>
    <w:semiHidden/>
    <w:qFormat/>
    <w:uiPriority w:val="0"/>
  </w:style>
  <w:style w:type="paragraph" w:customStyle="1" w:styleId="16">
    <w:name w:val="样式1"/>
    <w:basedOn w:val="1"/>
    <w:qFormat/>
    <w:uiPriority w:val="0"/>
  </w:style>
  <w:style w:type="paragraph" w:customStyle="1" w:styleId="17">
    <w:name w:val="paragraph"/>
    <w:basedOn w:val="1"/>
    <w:qFormat/>
    <w:uiPriority w:val="0"/>
    <w:pPr>
      <w:widowControl/>
      <w:spacing w:before="100" w:beforeAutospacing="1" w:after="100" w:afterAutospacing="1"/>
      <w:jc w:val="left"/>
    </w:pPr>
    <w:rPr>
      <w:rFonts w:ascii="宋体" w:hAnsi="宋体" w:cs="宋体"/>
      <w:kern w:val="0"/>
      <w:sz w:val="24"/>
    </w:rPr>
  </w:style>
  <w:style w:type="paragraph" w:styleId="18">
    <w:name w:val="List Paragraph"/>
    <w:basedOn w:val="1"/>
    <w:qFormat/>
    <w:uiPriority w:val="34"/>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chart" Target="charts/chart3.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gxq\Desktop\&#26032;&#24314;%20XLSX%20&#24037;&#20316;&#34920;.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file:///C:\Users\gxq\Desktop\&#26032;&#24314;%20XLSX%20&#24037;&#20316;&#34920;.xlsx"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gxq\Desktop\&#26032;&#24314;%20XLSX%20&#24037;&#20316;&#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multiLvlStrRef>
              <c:f>'[新建 XLSX 工作表.xlsx]Sheet1'!$D$5:$E$13</c:f>
              <c:multiLvlStrCache>
                <c:ptCount val="9"/>
                <c:lvl>
                  <c:pt idx="0">
                    <c:v>不满意</c:v>
                  </c:pt>
                  <c:pt idx="1">
                    <c:v>基本满意</c:v>
                  </c:pt>
                  <c:pt idx="2">
                    <c:v>满意</c:v>
                  </c:pt>
                  <c:pt idx="3">
                    <c:v>非常满意</c:v>
                  </c:pt>
                  <c:pt idx="5">
                    <c:v>不满意</c:v>
                  </c:pt>
                  <c:pt idx="6">
                    <c:v>基本满意</c:v>
                  </c:pt>
                  <c:pt idx="7">
                    <c:v>满意</c:v>
                  </c:pt>
                  <c:pt idx="8">
                    <c:v>非常满意</c:v>
                  </c:pt>
                </c:lvl>
                <c:lvl>
                  <c:pt idx="0">
                    <c:v>在校课程设置</c:v>
                  </c:pt>
                  <c:pt idx="5">
                    <c:v>教学工作综合评价</c:v>
                  </c:pt>
                </c:lvl>
              </c:multiLvlStrCache>
            </c:multiLvlStrRef>
          </c:cat>
          <c:val>
            <c:numRef>
              <c:f>'[新建 XLSX 工作表.xlsx]Sheet1'!$F$5:$F$13</c:f>
              <c:numCache>
                <c:formatCode>General</c:formatCode>
                <c:ptCount val="9"/>
                <c:pt idx="0">
                  <c:v>0</c:v>
                </c:pt>
                <c:pt idx="1">
                  <c:v>13.17</c:v>
                </c:pt>
                <c:pt idx="2">
                  <c:v>27.1</c:v>
                </c:pt>
                <c:pt idx="3">
                  <c:v>59.73</c:v>
                </c:pt>
                <c:pt idx="5">
                  <c:v>0</c:v>
                </c:pt>
                <c:pt idx="6">
                  <c:v>14.76</c:v>
                </c:pt>
                <c:pt idx="7">
                  <c:v>38.1</c:v>
                </c:pt>
                <c:pt idx="8">
                  <c:v>57.16</c:v>
                </c:pt>
              </c:numCache>
            </c:numRef>
          </c:val>
        </c:ser>
        <c:dLbls>
          <c:showLegendKey val="0"/>
          <c:showVal val="1"/>
          <c:showCatName val="0"/>
          <c:showSerName val="0"/>
          <c:showPercent val="0"/>
          <c:showBubbleSize val="0"/>
        </c:dLbls>
        <c:gapWidth val="219"/>
        <c:overlap val="-27"/>
        <c:axId val="271586460"/>
        <c:axId val="523543983"/>
      </c:barChart>
      <c:catAx>
        <c:axId val="271586460"/>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23543983"/>
        <c:crosses val="autoZero"/>
        <c:auto val="1"/>
        <c:lblAlgn val="ctr"/>
        <c:lblOffset val="100"/>
        <c:noMultiLvlLbl val="0"/>
      </c:catAx>
      <c:valAx>
        <c:axId val="52354398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71586460"/>
        <c:crosses val="autoZero"/>
        <c:crossBetween val="between"/>
      </c:valAx>
      <c:spPr>
        <a:noFill/>
        <a:ln>
          <a:noFill/>
        </a:ln>
        <a:effectLst/>
      </c:spPr>
    </c:plotArea>
    <c:plotVisOnly val="1"/>
    <c:dispBlanksAs val="gap"/>
    <c:showDLblsOverMax val="0"/>
  </c:chart>
  <c:spPr>
    <a:solidFill>
      <a:schemeClr val="accent2">
        <a:lumMod val="20000"/>
        <a:lumOff val="80000"/>
      </a:schemeClr>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cked"/>
        <c:varyColors val="0"/>
        <c:ser>
          <c:idx val="0"/>
          <c:order val="0"/>
          <c:spPr>
            <a:ln w="22225" cap="rnd">
              <a:solidFill>
                <a:schemeClr val="accent1"/>
              </a:solidFill>
            </a:ln>
            <a:effectLst>
              <a:glow rad="139700">
                <a:schemeClr val="accent1">
                  <a:satMod val="175000"/>
                  <a:alpha val="14000"/>
                </a:schemeClr>
              </a:glow>
            </a:effectLst>
          </c:spPr>
          <c:marker>
            <c:symbol val="none"/>
          </c:marker>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lt1">
                        <a:lumMod val="75000"/>
                      </a:schemeClr>
                    </a:solidFill>
                    <a:latin typeface="+mn-lt"/>
                    <a:ea typeface="+mn-ea"/>
                    <a:cs typeface="+mn-cs"/>
                  </a:defRPr>
                </a:pPr>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lt1">
                          <a:lumMod val="50000"/>
                        </a:schemeClr>
                      </a:solidFill>
                      <a:round/>
                    </a:ln>
                    <a:effectLst/>
                  </c:spPr>
                </c15:leaderLines>
              </c:ext>
            </c:extLst>
          </c:dLbls>
          <c:cat>
            <c:multiLvlStrRef>
              <c:f>'[新建 XLSX 工作表.xlsx]Sheet1'!$D$28:$E$38</c:f>
              <c:multiLvlStrCache>
                <c:ptCount val="11"/>
                <c:lvl>
                  <c:pt idx="0">
                    <c:v>很强</c:v>
                  </c:pt>
                  <c:pt idx="1">
                    <c:v>强</c:v>
                  </c:pt>
                  <c:pt idx="5">
                    <c:v>很强</c:v>
                  </c:pt>
                  <c:pt idx="6">
                    <c:v>强</c:v>
                  </c:pt>
                  <c:pt idx="9">
                    <c:v>很强</c:v>
                  </c:pt>
                  <c:pt idx="10">
                    <c:v>强</c:v>
                  </c:pt>
                </c:lvl>
                <c:lvl>
                  <c:pt idx="0">
                    <c:v>实践动手能力训练</c:v>
                  </c:pt>
                  <c:pt idx="5">
                    <c:v>职业文化能力训练</c:v>
                  </c:pt>
                  <c:pt idx="9">
                    <c:v>池逊学习能力训练</c:v>
                  </c:pt>
                </c:lvl>
              </c:multiLvlStrCache>
            </c:multiLvlStrRef>
          </c:cat>
          <c:val>
            <c:numRef>
              <c:f>'[新建 XLSX 工作表.xlsx]Sheet1'!$F$28:$F$38</c:f>
              <c:numCache>
                <c:formatCode>General</c:formatCode>
                <c:ptCount val="11"/>
                <c:pt idx="0">
                  <c:v>52</c:v>
                </c:pt>
                <c:pt idx="1">
                  <c:v>32</c:v>
                </c:pt>
                <c:pt idx="5">
                  <c:v>45</c:v>
                </c:pt>
                <c:pt idx="6">
                  <c:v>35</c:v>
                </c:pt>
                <c:pt idx="9">
                  <c:v>48</c:v>
                </c:pt>
                <c:pt idx="10">
                  <c:v>42</c:v>
                </c:pt>
              </c:numCache>
            </c:numRef>
          </c:val>
          <c:smooth val="0"/>
        </c:ser>
        <c:dLbls>
          <c:showLegendKey val="0"/>
          <c:showVal val="1"/>
          <c:showCatName val="0"/>
          <c:showSerName val="0"/>
          <c:showPercent val="0"/>
          <c:showBubbleSize val="0"/>
        </c:dLbls>
        <c:marker val="0"/>
        <c:smooth val="0"/>
        <c:axId val="871769929"/>
        <c:axId val="538001265"/>
      </c:lineChart>
      <c:catAx>
        <c:axId val="871769929"/>
        <c:scaling>
          <c:orientation val="minMax"/>
        </c:scaling>
        <c:delete val="0"/>
        <c:axPos val="b"/>
        <c:majorGridlines>
          <c:spPr>
            <a:ln w="9525" cap="flat" cmpd="sng" algn="ctr">
              <a:gradFill>
                <a:gsLst>
                  <a:gs pos="100000">
                    <a:schemeClr val="dk1">
                      <a:lumMod val="75000"/>
                      <a:lumOff val="25000"/>
                    </a:schemeClr>
                  </a:gs>
                  <a:gs pos="0">
                    <a:schemeClr val="dk1">
                      <a:lumMod val="65000"/>
                      <a:lumOff val="35000"/>
                    </a:schemeClr>
                  </a:gs>
                </a:gsLst>
                <a:lin ang="5400000" scaled="0"/>
              </a:gradFill>
              <a:round/>
            </a:ln>
            <a:effectLst/>
          </c:spPr>
        </c:majorGridlines>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lt1">
                    <a:lumMod val="75000"/>
                  </a:schemeClr>
                </a:solidFill>
                <a:latin typeface="+mn-lt"/>
                <a:ea typeface="+mn-ea"/>
                <a:cs typeface="+mn-cs"/>
              </a:defRPr>
            </a:pPr>
          </a:p>
        </c:txPr>
        <c:crossAx val="538001265"/>
        <c:crosses val="autoZero"/>
        <c:auto val="1"/>
        <c:lblAlgn val="ctr"/>
        <c:lblOffset val="100"/>
        <c:noMultiLvlLbl val="0"/>
      </c:catAx>
      <c:valAx>
        <c:axId val="538001265"/>
        <c:scaling>
          <c:orientation val="minMax"/>
        </c:scaling>
        <c:delete val="0"/>
        <c:axPos val="l"/>
        <c:majorGridlines>
          <c:spPr>
            <a:ln w="9525" cap="flat" cmpd="sng" algn="ctr">
              <a:gradFill>
                <a:gsLst>
                  <a:gs pos="100000">
                    <a:schemeClr val="dk1">
                      <a:lumMod val="75000"/>
                      <a:lumOff val="25000"/>
                    </a:schemeClr>
                  </a:gs>
                  <a:gs pos="0">
                    <a:schemeClr val="dk1">
                      <a:lumMod val="65000"/>
                      <a:lumOff val="3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lt1">
                    <a:lumMod val="75000"/>
                  </a:schemeClr>
                </a:solidFill>
                <a:latin typeface="+mn-lt"/>
                <a:ea typeface="+mn-ea"/>
                <a:cs typeface="+mn-cs"/>
              </a:defRPr>
            </a:pPr>
          </a:p>
        </c:txPr>
        <c:crossAx val="871769929"/>
        <c:crosses val="autoZero"/>
        <c:crossBetween val="between"/>
      </c:valAx>
      <c:spPr>
        <a:noFill/>
        <a:ln>
          <a:noFill/>
        </a:ln>
        <a:effectLst/>
      </c:spPr>
    </c:plotArea>
    <c:plotVisOnly val="1"/>
    <c:dispBlanksAs val="zero"/>
    <c:showDLblsOverMax val="0"/>
  </c:chart>
  <c:spPr>
    <a:solidFill>
      <a:schemeClr val="dk1">
        <a:lumMod val="75000"/>
        <a:lumOff val="25000"/>
      </a:schemeClr>
    </a:solidFill>
    <a:ln w="9525" cap="flat" cmpd="sng" algn="ctr">
      <a:solidFill>
        <a:schemeClr val="dk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multiLvlStrRef>
              <c:f>'[新建 XLSX 工作表.xlsx]Sheet1'!$D$49:$E$62</c:f>
              <c:multiLvlStrCache>
                <c:ptCount val="14"/>
                <c:lvl>
                  <c:pt idx="0">
                    <c:v>很多</c:v>
                  </c:pt>
                  <c:pt idx="1">
                    <c:v>较多</c:v>
                  </c:pt>
                  <c:pt idx="3">
                    <c:v>很多</c:v>
                  </c:pt>
                  <c:pt idx="4">
                    <c:v>较多</c:v>
                  </c:pt>
                  <c:pt idx="6">
                    <c:v>很多</c:v>
                  </c:pt>
                  <c:pt idx="7">
                    <c:v>较多</c:v>
                  </c:pt>
                  <c:pt idx="9">
                    <c:v>很多</c:v>
                  </c:pt>
                  <c:pt idx="10">
                    <c:v>较多</c:v>
                  </c:pt>
                  <c:pt idx="12">
                    <c:v>很多</c:v>
                  </c:pt>
                  <c:pt idx="13">
                    <c:v>较多</c:v>
                  </c:pt>
                </c:lvl>
                <c:lvl>
                  <c:pt idx="0">
                    <c:v>沟通交流、语言表达能力</c:v>
                  </c:pt>
                  <c:pt idx="3">
                    <c:v>团队协作能力</c:v>
                  </c:pt>
                  <c:pt idx="6">
                    <c:v>同理心、换位思考能力</c:v>
                  </c:pt>
                  <c:pt idx="9">
                    <c:v>分析问题解决问题能力</c:v>
                  </c:pt>
                  <c:pt idx="12">
                    <c:v>应变能力</c:v>
                  </c:pt>
                </c:lvl>
              </c:multiLvlStrCache>
            </c:multiLvlStrRef>
          </c:cat>
          <c:val>
            <c:numRef>
              <c:f>'[新建 XLSX 工作表.xlsx]Sheet1'!$F$49:$F$62</c:f>
              <c:numCache>
                <c:formatCode>General</c:formatCode>
                <c:ptCount val="14"/>
                <c:pt idx="0">
                  <c:v>88.46</c:v>
                </c:pt>
                <c:pt idx="1">
                  <c:v>21.38</c:v>
                </c:pt>
                <c:pt idx="3">
                  <c:v>58.46</c:v>
                </c:pt>
                <c:pt idx="4">
                  <c:v>36.92</c:v>
                </c:pt>
                <c:pt idx="6">
                  <c:v>50.85</c:v>
                </c:pt>
                <c:pt idx="7">
                  <c:v>40</c:v>
                </c:pt>
                <c:pt idx="9">
                  <c:v>53.85</c:v>
                </c:pt>
                <c:pt idx="10">
                  <c:v>40</c:v>
                </c:pt>
                <c:pt idx="12">
                  <c:v>60.85</c:v>
                </c:pt>
                <c:pt idx="13">
                  <c:v>38</c:v>
                </c:pt>
              </c:numCache>
            </c:numRef>
          </c:val>
        </c:ser>
        <c:dLbls>
          <c:showLegendKey val="0"/>
          <c:showVal val="1"/>
          <c:showCatName val="0"/>
          <c:showSerName val="0"/>
          <c:showPercent val="0"/>
          <c:showBubbleSize val="0"/>
        </c:dLbls>
        <c:gapWidth val="150"/>
        <c:overlap val="100"/>
        <c:axId val="745344212"/>
        <c:axId val="89283148"/>
      </c:barChart>
      <c:catAx>
        <c:axId val="745344212"/>
        <c:scaling>
          <c:orientation val="minMax"/>
        </c:scaling>
        <c:delete val="0"/>
        <c:axPos val="b"/>
        <c:majorTickMark val="out"/>
        <c:minorTickMark val="none"/>
        <c:tickLblPos val="nextTo"/>
        <c:spPr>
          <a:noFill/>
          <a:ln w="9525" cap="flat" cmpd="sng" algn="ctr">
            <a:solidFill>
              <a:schemeClr val="accent2">
                <a:lumMod val="75000"/>
              </a:schemeClr>
            </a:solidFill>
            <a:round/>
          </a:ln>
          <a:effectLst/>
        </c:spPr>
        <c:txPr>
          <a:bodyPr rot="-60000000" spcFirstLastPara="0" vertOverflow="ellipsis" vert="horz" wrap="square" anchor="ctr" anchorCtr="1"/>
          <a:lstStyle/>
          <a:p>
            <a:pPr>
              <a:defRPr lang="zh-CN" sz="900" b="0" i="0" u="none" strike="noStrike" kern="1200" baseline="0">
                <a:solidFill>
                  <a:schemeClr val="accent2">
                    <a:lumMod val="50000"/>
                  </a:schemeClr>
                </a:solidFill>
                <a:latin typeface="+mn-lt"/>
                <a:ea typeface="+mn-ea"/>
                <a:cs typeface="+mn-cs"/>
              </a:defRPr>
            </a:pPr>
          </a:p>
        </c:txPr>
        <c:crossAx val="89283148"/>
        <c:crosses val="autoZero"/>
        <c:auto val="1"/>
        <c:lblAlgn val="ctr"/>
        <c:lblOffset val="100"/>
        <c:noMultiLvlLbl val="0"/>
      </c:catAx>
      <c:valAx>
        <c:axId val="892831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45344212"/>
        <c:crosses val="autoZero"/>
        <c:crossBetween val="between"/>
      </c:valAx>
      <c:spPr>
        <a:noFill/>
        <a:ln>
          <a:noFill/>
        </a:ln>
        <a:effectLst/>
      </c:spPr>
    </c:plotArea>
    <c:plotVisOnly val="1"/>
    <c:dispBlanksAs val="zero"/>
    <c:showDLblsOverMax val="0"/>
  </c:chart>
  <c:spPr>
    <a:solidFill>
      <a:schemeClr val="bg1">
        <a:lumMod val="95000"/>
      </a:schemeClr>
    </a:solidFill>
    <a:ln w="0" cap="flat" cmpd="sng" algn="ctr">
      <a:solidFill>
        <a:schemeClr val="accent2"/>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7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ln w="9525" cap="flat" cmpd="sng" algn="ctr">
        <a:solidFill>
          <a:schemeClr val="tx1">
            <a:lumMod val="15000"/>
            <a:lumOff val="85000"/>
          </a:schemeClr>
        </a:solidFill>
        <a:round/>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36">
  <cs:axisTitle>
    <cs:lnRef idx="0"/>
    <cs:fillRef idx="0"/>
    <cs:effectRef idx="0"/>
    <cs:fontRef idx="minor">
      <a:schemeClr val="lt1">
        <a:lumMod val="75000"/>
      </a:schemeClr>
    </cs:fontRef>
    <cs:defRPr sz="900" b="1" kern="1200"/>
  </cs:axisTitle>
  <cs:categoryAxis>
    <cs:lnRef idx="0"/>
    <cs:fillRef idx="0"/>
    <cs:effectRef idx="0"/>
    <cs:fontRef idx="minor">
      <a:schemeClr val="lt1">
        <a:lumMod val="75000"/>
      </a:schemeClr>
    </cs:fontRef>
    <cs:defRPr sz="900" kern="1200"/>
  </cs:categoryAxis>
  <cs:chartArea>
    <cs:lnRef idx="0"/>
    <cs:fillRef idx="0"/>
    <cs:effectRef idx="0"/>
    <cs:fontRef idx="minor">
      <a:schemeClr val="dk1"/>
    </cs:fontRef>
    <cs:spPr>
      <a:solidFill>
        <a:schemeClr val="dk1">
          <a:lumMod val="75000"/>
          <a:lumOff val="25000"/>
        </a:schemeClr>
      </a:solidFill>
      <a:ln w="9525" cap="flat" cmpd="sng" algn="ctr">
        <a:solidFill>
          <a:schemeClr val="dk1">
            <a:lumMod val="15000"/>
            <a:lumOff val="85000"/>
          </a:schemeClr>
        </a:solidFill>
        <a:round/>
      </a:ln>
    </cs:spPr>
    <cs:defRPr sz="900" kern="1200"/>
  </cs:chartArea>
  <cs:dataLabel>
    <cs:lnRef idx="0"/>
    <cs:fillRef idx="0"/>
    <cs:effectRef idx="0"/>
    <cs:fontRef idx="minor">
      <a:schemeClr val="lt1">
        <a:lumMod val="75000"/>
      </a:schemeClr>
    </cs:fontRef>
    <cs:defRPr sz="900" kern="1200"/>
  </cs:dataLabel>
  <cs:dataLabelCallout>
    <cs:lnRef idx="0"/>
    <cs:fillRef idx="0"/>
    <cs:effectRef idx="0"/>
    <cs:fontRef idx="minor">
      <a:schemeClr val="lt1">
        <a:lumMod val="15000"/>
        <a:lumOff val="85000"/>
      </a:schemeClr>
    </cs:fontRef>
    <cs:spPr>
      <a:solidFill>
        <a:schemeClr val="dk1">
          <a:lumMod val="65000"/>
          <a:lumOff val="35000"/>
        </a:schemeClr>
      </a:solidFill>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0"/>
    <cs:effectRef idx="0">
      <cs:styleClr val="auto"/>
    </cs:effectRef>
    <cs:fontRef idx="minor">
      <a:schemeClr val="dk1"/>
    </cs:fontRef>
    <cs:spPr>
      <a:ln w="9525" cap="flat" cmpd="sng" algn="ctr">
        <a:solidFill>
          <a:schemeClr val="phClr"/>
        </a:solidFill>
        <a:miter lim="800000"/>
      </a:ln>
      <a:effectLst>
        <a:glow rad="63500">
          <a:schemeClr val="phClr">
            <a:satMod val="175000"/>
            <a:alpha val="25000"/>
          </a:schemeClr>
        </a:glow>
      </a:effectLst>
    </cs:spPr>
  </cs:dataPoint>
  <cs:dataPoint3D>
    <cs:lnRef idx="0">
      <cs:styleClr val="auto"/>
    </cs:lnRef>
    <cs:fillRef idx="0">
      <cs:styleClr val="auto"/>
    </cs:fillRef>
    <cs:effectRef idx="0">
      <cs:styleClr val="auto"/>
    </cs:effectRef>
    <cs:fontRef idx="minor">
      <a:schemeClr val="dk1"/>
    </cs:fontRef>
    <cs:spPr>
      <a:ln w="9525" cap="flat" cmpd="sng" algn="ctr">
        <a:solidFill>
          <a:schemeClr val="phClr"/>
        </a:solidFill>
        <a:miter lim="800000"/>
      </a:ln>
      <a:effectLst>
        <a:glow rad="63500">
          <a:schemeClr val="phClr">
            <a:satMod val="175000"/>
            <a:alpha val="25000"/>
          </a:schemeClr>
        </a:glow>
      </a:effectLst>
    </cs:spPr>
  </cs:dataPoint3D>
  <cs:dataPointLine>
    <cs:lnRef idx="0">
      <cs:styleClr val="auto"/>
    </cs:lnRef>
    <cs:fillRef idx="0">
      <cs:styleClr val="auto"/>
    </cs:fillRef>
    <cs:effectRef idx="0">
      <cs:styleClr val="auto"/>
    </cs:effectRef>
    <cs:fontRef idx="minor">
      <a:schemeClr val="dk1"/>
    </cs:fontRef>
    <cs:spPr>
      <a:ln w="22225" cap="rnd">
        <a:solidFill>
          <a:schemeClr val="phClr"/>
        </a:solidFill>
      </a:ln>
      <a:effectLst>
        <a:glow rad="139700">
          <a:schemeClr val="phClr">
            <a:satMod val="175000"/>
            <a:alpha val="14000"/>
          </a:schemeClr>
        </a:glow>
      </a:effectLst>
    </cs:spPr>
  </cs:dataPointLine>
  <cs:dataPointMarker>
    <cs:lnRef idx="0">
      <cs:styleClr val="auto"/>
    </cs:lnRef>
    <cs:fillRef idx="0">
      <cs:styleClr val="auto"/>
    </cs:fillRef>
    <cs:effectRef idx="0">
      <cs:styleClr val="auto"/>
    </cs:effectRef>
    <cs:fontRef idx="minor">
      <a:schemeClr val="dk1"/>
    </cs:fontRef>
    <cs:spPr>
      <a:solidFill>
        <a:schemeClr val="phClr">
          <a:lumMod val="60000"/>
          <a:lumOff val="40000"/>
        </a:schemeClr>
      </a:solidFill>
      <a:effectLst>
        <a:glow rad="63500">
          <a:schemeClr val="phClr">
            <a:satMod val="175000"/>
            <a:alpha val="25000"/>
          </a:schemeClr>
        </a:glow>
      </a:effectLst>
    </cs:spPr>
  </cs:dataPointMarker>
  <cs:dataPointMarkerLayout symbol="circle" size="4"/>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lt1">
        <a:lumMod val="75000"/>
      </a:schemeClr>
    </cs:fontRef>
    <cs:spPr>
      <a:ln w="9525">
        <a:solidFill>
          <a:schemeClr val="dk1">
            <a:lumMod val="50000"/>
            <a:lumOff val="50000"/>
          </a:schemeClr>
        </a:solidFill>
      </a:ln>
    </cs:spPr>
    <cs:defRPr sz="900" kern="1200"/>
  </cs:dataTable>
  <cs:downBar>
    <cs:lnRef idx="0"/>
    <cs:fillRef idx="0"/>
    <cs:effectRef idx="0"/>
    <cs:fontRef idx="minor">
      <a:schemeClr val="lt1"/>
    </cs:fontRef>
    <cs:spPr>
      <a:solidFill>
        <a:schemeClr val="dk1">
          <a:lumMod val="50000"/>
          <a:lumOff val="50000"/>
        </a:schemeClr>
      </a:solidFill>
      <a:ln w="9525">
        <a:solidFill>
          <a:schemeClr val="dk1">
            <a:lumMod val="75000"/>
          </a:schemeClr>
        </a:solidFill>
        <a:round/>
      </a:ln>
    </cs:spPr>
  </cs:downBar>
  <cs:dropLine>
    <cs:lnRef idx="0"/>
    <cs:fillRef idx="0"/>
    <cs:effectRef idx="0"/>
    <cs:fontRef idx="minor">
      <a:schemeClr val="dk1"/>
    </cs:fontRef>
    <cs:spPr>
      <a:ln w="9525">
        <a:solidFill>
          <a:schemeClr val="lt1">
            <a:lumMod val="50000"/>
          </a:schemeClr>
        </a:solidFill>
        <a:round/>
      </a:ln>
    </cs:spPr>
  </cs:dropLine>
  <cs:errorBar>
    <cs:lnRef idx="0"/>
    <cs:fillRef idx="0"/>
    <cs:effectRef idx="0"/>
    <cs:fontRef idx="minor">
      <a:schemeClr val="dk1"/>
    </cs:fontRef>
    <cs:spPr>
      <a:ln w="9525">
        <a:solidFill>
          <a:schemeClr val="lt1">
            <a:lumMod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75000"/>
                <a:lumOff val="25000"/>
              </a:schemeClr>
            </a:gs>
            <a:gs pos="0">
              <a:schemeClr val="dk1">
                <a:lumMod val="65000"/>
                <a:lumOff val="3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dk1">
                <a:lumMod val="75000"/>
                <a:lumOff val="25000"/>
                <a:alpha val="25000"/>
              </a:schemeClr>
            </a:gs>
            <a:gs pos="0">
              <a:schemeClr val="dk1">
                <a:lumMod val="65000"/>
                <a:lumOff val="35000"/>
                <a:alpha val="25000"/>
              </a:schemeClr>
            </a:gs>
          </a:gsLst>
          <a:lin ang="5400000" scaled="0"/>
        </a:gradFill>
        <a:round/>
      </a:ln>
    </cs:spPr>
  </cs:gridlineMinor>
  <cs:hiLoLine>
    <cs:lnRef idx="0"/>
    <cs:fillRef idx="0"/>
    <cs:effectRef idx="0"/>
    <cs:fontRef idx="minor">
      <a:schemeClr val="dk1"/>
    </cs:fontRef>
    <cs:spPr>
      <a:ln w="9525">
        <a:solidFill>
          <a:schemeClr val="lt1">
            <a:lumMod val="50000"/>
          </a:schemeClr>
        </a:solidFill>
        <a:round/>
      </a:ln>
    </cs:spPr>
  </cs:hiLoLine>
  <cs:leaderLine>
    <cs:lnRef idx="0"/>
    <cs:fillRef idx="0"/>
    <cs:effectRef idx="0"/>
    <cs:fontRef idx="minor">
      <a:schemeClr val="dk1"/>
    </cs:fontRef>
    <cs:spPr>
      <a:ln w="9525">
        <a:solidFill>
          <a:schemeClr val="lt1">
            <a:lumMod val="50000"/>
          </a:schemeClr>
        </a:solidFill>
        <a:round/>
      </a:ln>
    </cs:spPr>
  </cs:leaderLine>
  <cs:legend>
    <cs:lnRef idx="0"/>
    <cs:fillRef idx="0"/>
    <cs:effectRef idx="0"/>
    <cs:fontRef idx="minor">
      <a:schemeClr val="lt1">
        <a:lumMod val="75000"/>
      </a:schemeClr>
    </cs:fontRef>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lt1">
        <a:lumMod val="75000"/>
      </a:schemeClr>
    </cs:fontRef>
    <cs:defRPr sz="900" kern="1200"/>
  </cs:seriesAxis>
  <cs:seriesLine>
    <cs:lnRef idx="0"/>
    <cs:fillRef idx="0"/>
    <cs:effectRef idx="0"/>
    <cs:fontRef idx="minor">
      <a:schemeClr val="dk1"/>
    </cs:fontRef>
    <cs:spPr>
      <a:ln w="9525">
        <a:solidFill>
          <a:schemeClr val="lt1">
            <a:lumMod val="50000"/>
          </a:schemeClr>
        </a:solidFill>
        <a:round/>
      </a:ln>
    </cs:spPr>
  </cs:seriesLine>
  <cs:title>
    <cs:lnRef idx="0"/>
    <cs:fillRef idx="0"/>
    <cs:effectRef idx="0"/>
    <cs:fontRef idx="minor">
      <a:schemeClr val="lt1">
        <a:lumMod val="85000"/>
      </a:schemeClr>
    </cs:fontRef>
    <cs:defRPr sz="1400" b="1" kern="1200" cap="none" baseline="0"/>
  </cs:title>
  <cs:trendline>
    <cs:lnRef idx="0">
      <cs:styleClr val="auto"/>
    </cs:lnRef>
    <cs:fillRef idx="0"/>
    <cs:effectRef idx="0"/>
    <cs:fontRef idx="minor">
      <a:schemeClr val="lt1"/>
    </cs:fontRef>
    <cs:spPr>
      <a:ln w="25400" cap="rnd">
        <a:solidFill>
          <a:schemeClr val="phClr">
            <a:alpha val="50000"/>
          </a:schemeClr>
        </a:solidFill>
      </a:ln>
    </cs:spPr>
  </cs:trendline>
  <cs:trendlineLabel>
    <cs:lnRef idx="0"/>
    <cs:fillRef idx="0"/>
    <cs:effectRef idx="0"/>
    <cs:fontRef idx="minor">
      <a:schemeClr val="lt1">
        <a:lumMod val="75000"/>
      </a:schemeClr>
    </cs:fontRef>
    <cs:defRPr sz="900" kern="1200"/>
  </cs:trendlineLabel>
  <cs:upBar>
    <cs:lnRef idx="0"/>
    <cs:fillRef idx="0"/>
    <cs:effectRef idx="0"/>
    <cs:fontRef idx="minor">
      <a:schemeClr val="dk1"/>
    </cs:fontRef>
    <cs:spPr>
      <a:solidFill>
        <a:schemeClr val="lt1">
          <a:lumMod val="85000"/>
        </a:schemeClr>
      </a:solidFill>
      <a:ln w="9525">
        <a:solidFill>
          <a:schemeClr val="dk1">
            <a:lumMod val="50000"/>
          </a:schemeClr>
        </a:solidFill>
        <a:round/>
      </a:ln>
    </cs:spPr>
  </cs:upBar>
  <cs:valueAxis>
    <cs:lnRef idx="0"/>
    <cs:fillRef idx="0"/>
    <cs:effectRef idx="0"/>
    <cs:fontRef idx="minor">
      <a:schemeClr val="lt1">
        <a:lumMod val="7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2023-03-16T00:12:00Z</dcterms:created>
  <dc:creator>86115078</dc:creator>
  <cp:lastModifiedBy>晴</cp:lastModifiedBy>
  <dcterms:modified xsi:type="dcterms:W3CDTF">2023-06-01T02:45:56Z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12B4B69E2BC046C58ED7EEA0F551DB63_13</vt:lpwstr>
  </property>
</Properties>
</file>