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961" w:firstLineChars="400"/>
        <w:rPr>
          <w:rFonts w:eastAsia="华文彩云"/>
          <w:b/>
          <w:sz w:val="32"/>
          <w:szCs w:val="32"/>
        </w:rPr>
      </w:pPr>
      <w:r>
        <w:rPr>
          <w:rFonts w:eastAsia="华文彩云"/>
          <w:b/>
          <w:sz w:val="24"/>
        </w:rPr>
        <w:t xml:space="preserve">              </w:t>
      </w:r>
      <w:r>
        <w:rPr>
          <w:rFonts w:eastAsia="华文彩云"/>
          <w:b/>
          <w:sz w:val="32"/>
          <w:szCs w:val="32"/>
        </w:rPr>
        <w:t>南京交通职业技术学院</w:t>
      </w:r>
    </w:p>
    <w:p>
      <w:pPr>
        <w:spacing w:before="156" w:beforeLines="50"/>
        <w:jc w:val="center"/>
        <w:rPr>
          <w:b/>
          <w:bCs/>
          <w:sz w:val="32"/>
          <w:szCs w:val="32"/>
        </w:rPr>
      </w:pPr>
      <w:r>
        <w:rPr>
          <w:b/>
          <w:bCs/>
          <w:sz w:val="28"/>
        </w:rPr>
        <w:t>【土木工程专业】</w:t>
      </w:r>
      <w:r>
        <w:rPr>
          <w:rFonts w:ascii="Times New Roman" w:hAnsi="Times New Roman"/>
          <w:b/>
          <w:bCs/>
          <w:sz w:val="32"/>
          <w:szCs w:val="32"/>
        </w:rPr>
        <w:t>202</w:t>
      </w:r>
      <w:r>
        <w:rPr>
          <w:rFonts w:hint="eastAsia" w:ascii="Times New Roman" w:hAnsi="Times New Roman"/>
          <w:b/>
          <w:bCs/>
          <w:sz w:val="32"/>
          <w:szCs w:val="32"/>
          <w:lang w:val="en-US" w:eastAsia="zh-CN"/>
        </w:rPr>
        <w:t>3</w:t>
      </w:r>
      <w:r>
        <w:rPr>
          <w:b/>
          <w:bCs/>
          <w:sz w:val="32"/>
          <w:szCs w:val="32"/>
        </w:rPr>
        <w:t>级专业人才培养方案</w:t>
      </w:r>
    </w:p>
    <w:p>
      <w:pPr>
        <w:spacing w:line="360" w:lineRule="auto"/>
        <w:ind w:firstLine="480" w:firstLineChars="200"/>
        <w:rPr>
          <w:sz w:val="24"/>
        </w:rPr>
      </w:pPr>
      <w:r>
        <w:rPr>
          <w:sz w:val="24"/>
        </w:rPr>
        <w:t>本方案适用于</w:t>
      </w:r>
      <w:r>
        <w:rPr>
          <w:rFonts w:ascii="Times New Roman" w:hAnsi="Times New Roman"/>
          <w:sz w:val="24"/>
        </w:rPr>
        <w:t>4</w:t>
      </w:r>
      <w:r>
        <w:rPr>
          <w:sz w:val="24"/>
        </w:rPr>
        <w:t>年制</w:t>
      </w:r>
      <w:r>
        <w:rPr>
          <w:rFonts w:hint="eastAsia"/>
          <w:sz w:val="24"/>
          <w:lang w:val="en-US" w:eastAsia="zh-CN"/>
        </w:rPr>
        <w:t>职业教育本科</w:t>
      </w:r>
      <w:r>
        <w:rPr>
          <w:sz w:val="24"/>
        </w:rPr>
        <w:t>土木工程专业（</w:t>
      </w:r>
      <w:r>
        <w:rPr>
          <w:rFonts w:hint="eastAsia"/>
          <w:sz w:val="24"/>
          <w:lang w:val="en-US" w:eastAsia="zh-CN"/>
        </w:rPr>
        <w:t>江苏省现代职教体系建设</w:t>
      </w:r>
      <w:r>
        <w:rPr>
          <w:rFonts w:ascii="Times New Roman" w:hAnsi="Times New Roman"/>
          <w:sz w:val="24"/>
        </w:rPr>
        <w:t>4</w:t>
      </w:r>
      <w:r>
        <w:rPr>
          <w:sz w:val="24"/>
        </w:rPr>
        <w:t>+</w:t>
      </w:r>
      <w:r>
        <w:rPr>
          <w:rFonts w:ascii="Times New Roman" w:hAnsi="Times New Roman"/>
          <w:sz w:val="24"/>
        </w:rPr>
        <w:t>0</w:t>
      </w:r>
      <w:r>
        <w:rPr>
          <w:sz w:val="24"/>
        </w:rPr>
        <w:t>项目），由南京交通职业技术学院、南京工程学院、苏交科集团股份有限公司共同制定和实施。</w:t>
      </w:r>
    </w:p>
    <w:p>
      <w:pPr>
        <w:keepNext w:val="0"/>
        <w:keepLines w:val="0"/>
        <w:pageBreakBefore w:val="0"/>
        <w:widowControl w:val="0"/>
        <w:kinsoku/>
        <w:wordWrap/>
        <w:overflowPunct/>
        <w:topLinePunct w:val="0"/>
        <w:autoSpaceDE/>
        <w:autoSpaceDN/>
        <w:bidi w:val="0"/>
        <w:adjustRightInd/>
        <w:snapToGrid/>
        <w:spacing w:before="157" w:beforeLines="50" w:line="360" w:lineRule="auto"/>
        <w:contextualSpacing/>
        <w:textAlignment w:val="auto"/>
        <w:outlineLvl w:val="0"/>
        <w:rPr>
          <w:b/>
          <w:bCs/>
          <w:sz w:val="28"/>
        </w:rPr>
      </w:pPr>
      <w:r>
        <w:rPr>
          <w:b/>
          <w:bCs/>
          <w:sz w:val="28"/>
        </w:rPr>
        <w:t>一、专业名称</w:t>
      </w:r>
      <w:r>
        <w:rPr>
          <w:rFonts w:hint="eastAsia"/>
          <w:b/>
          <w:bCs/>
          <w:sz w:val="28"/>
          <w:lang w:val="en-US" w:eastAsia="zh-CN"/>
        </w:rPr>
        <w:t>及</w:t>
      </w:r>
      <w:r>
        <w:rPr>
          <w:b/>
          <w:bCs/>
          <w:sz w:val="28"/>
        </w:rPr>
        <w:t>代码</w:t>
      </w:r>
    </w:p>
    <w:p>
      <w:pPr>
        <w:spacing w:line="360" w:lineRule="auto"/>
        <w:ind w:firstLine="480" w:firstLineChars="200"/>
        <w:contextualSpacing/>
        <w:rPr>
          <w:rFonts w:ascii="Times New Roman" w:hAnsi="Times New Roman"/>
          <w:sz w:val="24"/>
        </w:rPr>
      </w:pPr>
      <w:r>
        <w:rPr>
          <w:sz w:val="24"/>
        </w:rPr>
        <w:t xml:space="preserve">土木工程  </w:t>
      </w:r>
      <w:r>
        <w:rPr>
          <w:rFonts w:ascii="Times New Roman" w:hAnsi="Times New Roman"/>
          <w:sz w:val="24"/>
        </w:rPr>
        <w:t>0814</w:t>
      </w:r>
    </w:p>
    <w:p>
      <w:pPr>
        <w:spacing w:line="360" w:lineRule="auto"/>
        <w:contextualSpacing/>
        <w:outlineLvl w:val="0"/>
        <w:rPr>
          <w:b/>
          <w:bCs/>
          <w:sz w:val="28"/>
        </w:rPr>
      </w:pPr>
      <w:r>
        <w:rPr>
          <w:b/>
          <w:bCs/>
          <w:sz w:val="28"/>
        </w:rPr>
        <w:t>二、入学要求</w:t>
      </w:r>
    </w:p>
    <w:p>
      <w:pPr>
        <w:spacing w:line="360" w:lineRule="auto"/>
        <w:ind w:firstLine="480" w:firstLineChars="200"/>
        <w:contextualSpacing/>
        <w:rPr>
          <w:sz w:val="24"/>
        </w:rPr>
      </w:pPr>
      <w:r>
        <w:rPr>
          <w:sz w:val="24"/>
        </w:rPr>
        <w:t>高中毕业生</w:t>
      </w:r>
    </w:p>
    <w:p>
      <w:pPr>
        <w:keepNext w:val="0"/>
        <w:keepLines w:val="0"/>
        <w:pageBreakBefore w:val="0"/>
        <w:widowControl w:val="0"/>
        <w:kinsoku/>
        <w:wordWrap/>
        <w:overflowPunct/>
        <w:topLinePunct w:val="0"/>
        <w:autoSpaceDE/>
        <w:autoSpaceDN/>
        <w:bidi w:val="0"/>
        <w:adjustRightInd/>
        <w:snapToGrid/>
        <w:spacing w:before="157" w:beforeLines="50" w:line="360" w:lineRule="auto"/>
        <w:contextualSpacing/>
        <w:textAlignment w:val="auto"/>
        <w:outlineLvl w:val="0"/>
        <w:rPr>
          <w:b/>
          <w:bCs/>
          <w:sz w:val="28"/>
        </w:rPr>
      </w:pPr>
      <w:r>
        <w:rPr>
          <w:b/>
          <w:bCs/>
          <w:sz w:val="28"/>
        </w:rPr>
        <w:t>三、修业年限</w:t>
      </w:r>
    </w:p>
    <w:p>
      <w:pPr>
        <w:spacing w:line="360" w:lineRule="auto"/>
        <w:ind w:firstLine="480" w:firstLineChars="200"/>
        <w:contextualSpacing/>
        <w:rPr>
          <w:sz w:val="24"/>
        </w:rPr>
      </w:pPr>
      <w:r>
        <w:rPr>
          <w:sz w:val="24"/>
        </w:rPr>
        <w:t>全日制四年</w:t>
      </w:r>
    </w:p>
    <w:p>
      <w:pPr>
        <w:keepNext w:val="0"/>
        <w:keepLines w:val="0"/>
        <w:pageBreakBefore w:val="0"/>
        <w:widowControl w:val="0"/>
        <w:kinsoku/>
        <w:wordWrap/>
        <w:overflowPunct/>
        <w:topLinePunct w:val="0"/>
        <w:autoSpaceDE/>
        <w:autoSpaceDN/>
        <w:bidi w:val="0"/>
        <w:adjustRightInd/>
        <w:snapToGrid/>
        <w:spacing w:before="157" w:beforeLines="50" w:line="360" w:lineRule="auto"/>
        <w:contextualSpacing/>
        <w:textAlignment w:val="auto"/>
        <w:outlineLvl w:val="0"/>
        <w:rPr>
          <w:b/>
          <w:bCs/>
          <w:sz w:val="28"/>
        </w:rPr>
      </w:pPr>
      <w:r>
        <w:rPr>
          <w:b/>
          <w:bCs/>
          <w:sz w:val="28"/>
        </w:rPr>
        <w:t>四、职业面向</w:t>
      </w:r>
    </w:p>
    <w:p>
      <w:pPr>
        <w:spacing w:line="360" w:lineRule="auto"/>
        <w:ind w:firstLine="480" w:firstLineChars="200"/>
        <w:rPr>
          <w:sz w:val="24"/>
        </w:rPr>
      </w:pPr>
      <w:r>
        <w:rPr>
          <w:sz w:val="24"/>
        </w:rPr>
        <w:t>本专业学生主要的就业岗位有设计、施工、造价，也可以从事工程监理、安全管理等管理工作，主要职业类别与主要岗位类别见表</w:t>
      </w:r>
      <w:r>
        <w:rPr>
          <w:rFonts w:ascii="Times New Roman" w:hAnsi="Times New Roman"/>
          <w:sz w:val="24"/>
        </w:rPr>
        <w:t>1</w:t>
      </w:r>
      <w:r>
        <w:rPr>
          <w:sz w:val="24"/>
        </w:rPr>
        <w:t xml:space="preserve">。 </w:t>
      </w:r>
    </w:p>
    <w:p>
      <w:pPr>
        <w:widowControl/>
        <w:spacing w:line="360" w:lineRule="auto"/>
        <w:jc w:val="center"/>
        <w:rPr>
          <w:kern w:val="0"/>
          <w:sz w:val="24"/>
          <w:szCs w:val="21"/>
        </w:rPr>
      </w:pPr>
      <w:r>
        <w:rPr>
          <w:kern w:val="0"/>
          <w:sz w:val="24"/>
          <w:szCs w:val="21"/>
        </w:rPr>
        <w:t>表</w:t>
      </w:r>
      <w:r>
        <w:rPr>
          <w:rFonts w:ascii="Times New Roman" w:hAnsi="Times New Roman"/>
          <w:kern w:val="0"/>
          <w:sz w:val="24"/>
          <w:szCs w:val="21"/>
        </w:rPr>
        <w:t>1</w:t>
      </w:r>
      <w:r>
        <w:rPr>
          <w:kern w:val="0"/>
          <w:sz w:val="24"/>
          <w:szCs w:val="21"/>
        </w:rPr>
        <w:t xml:space="preserve"> 主要职业类别与岗位类别表</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91"/>
        <w:gridCol w:w="1326"/>
        <w:gridCol w:w="1611"/>
        <w:gridCol w:w="2279"/>
        <w:gridCol w:w="2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jc w:val="center"/>
        </w:trPr>
        <w:tc>
          <w:tcPr>
            <w:tcW w:w="1015" w:type="dxa"/>
            <w:vAlign w:val="center"/>
          </w:tcPr>
          <w:p>
            <w:pPr>
              <w:spacing w:line="360" w:lineRule="exact"/>
              <w:jc w:val="center"/>
              <w:rPr>
                <w:b/>
                <w:szCs w:val="21"/>
              </w:rPr>
            </w:pPr>
            <w:r>
              <w:rPr>
                <w:b/>
                <w:szCs w:val="21"/>
              </w:rPr>
              <w:t>所属专业大类（代码）</w:t>
            </w:r>
          </w:p>
        </w:tc>
        <w:tc>
          <w:tcPr>
            <w:tcW w:w="1042" w:type="dxa"/>
            <w:vAlign w:val="center"/>
          </w:tcPr>
          <w:p>
            <w:pPr>
              <w:spacing w:line="360" w:lineRule="exact"/>
              <w:jc w:val="center"/>
              <w:rPr>
                <w:b/>
                <w:szCs w:val="21"/>
              </w:rPr>
            </w:pPr>
            <w:r>
              <w:rPr>
                <w:b/>
                <w:szCs w:val="21"/>
              </w:rPr>
              <w:t>所属专业类</w:t>
            </w:r>
          </w:p>
          <w:p>
            <w:pPr>
              <w:spacing w:line="360" w:lineRule="exact"/>
              <w:jc w:val="center"/>
              <w:rPr>
                <w:b/>
                <w:szCs w:val="21"/>
              </w:rPr>
            </w:pPr>
            <w:r>
              <w:rPr>
                <w:b/>
                <w:szCs w:val="21"/>
              </w:rPr>
              <w:t>（代码）</w:t>
            </w:r>
          </w:p>
        </w:tc>
        <w:tc>
          <w:tcPr>
            <w:tcW w:w="1161" w:type="dxa"/>
            <w:vAlign w:val="center"/>
          </w:tcPr>
          <w:p>
            <w:pPr>
              <w:spacing w:line="360" w:lineRule="exact"/>
              <w:jc w:val="center"/>
              <w:rPr>
                <w:b/>
                <w:szCs w:val="21"/>
              </w:rPr>
            </w:pPr>
            <w:r>
              <w:rPr>
                <w:b/>
                <w:szCs w:val="21"/>
              </w:rPr>
              <w:t>对应</w:t>
            </w:r>
          </w:p>
          <w:p>
            <w:pPr>
              <w:spacing w:line="360" w:lineRule="exact"/>
              <w:jc w:val="center"/>
              <w:rPr>
                <w:b/>
                <w:szCs w:val="21"/>
              </w:rPr>
            </w:pPr>
            <w:r>
              <w:rPr>
                <w:b/>
                <w:szCs w:val="21"/>
              </w:rPr>
              <w:t>行业</w:t>
            </w:r>
          </w:p>
          <w:p>
            <w:pPr>
              <w:spacing w:line="360" w:lineRule="exact"/>
              <w:jc w:val="center"/>
              <w:rPr>
                <w:b/>
                <w:szCs w:val="21"/>
              </w:rPr>
            </w:pPr>
            <w:r>
              <w:rPr>
                <w:b/>
                <w:szCs w:val="21"/>
              </w:rPr>
              <w:t>（代码）</w:t>
            </w:r>
          </w:p>
        </w:tc>
        <w:tc>
          <w:tcPr>
            <w:tcW w:w="1605" w:type="dxa"/>
            <w:vAlign w:val="center"/>
          </w:tcPr>
          <w:p>
            <w:pPr>
              <w:spacing w:line="360" w:lineRule="exact"/>
              <w:jc w:val="center"/>
              <w:rPr>
                <w:b/>
                <w:szCs w:val="21"/>
              </w:rPr>
            </w:pPr>
            <w:r>
              <w:rPr>
                <w:b/>
                <w:szCs w:val="21"/>
              </w:rPr>
              <w:t>主要职业类别</w:t>
            </w:r>
          </w:p>
          <w:p>
            <w:pPr>
              <w:spacing w:line="360" w:lineRule="exact"/>
              <w:jc w:val="center"/>
              <w:rPr>
                <w:b/>
                <w:szCs w:val="21"/>
              </w:rPr>
            </w:pPr>
            <w:r>
              <w:rPr>
                <w:b/>
                <w:szCs w:val="21"/>
              </w:rPr>
              <w:t>（代码）</w:t>
            </w:r>
          </w:p>
        </w:tc>
        <w:tc>
          <w:tcPr>
            <w:tcW w:w="1619" w:type="dxa"/>
            <w:vAlign w:val="center"/>
          </w:tcPr>
          <w:p>
            <w:pPr>
              <w:spacing w:line="360" w:lineRule="exact"/>
              <w:jc w:val="center"/>
              <w:rPr>
                <w:b/>
                <w:szCs w:val="21"/>
              </w:rPr>
            </w:pPr>
            <w:r>
              <w:rPr>
                <w:b/>
                <w:szCs w:val="21"/>
              </w:rPr>
              <w:t>主要岗位类别</w:t>
            </w:r>
          </w:p>
          <w:p>
            <w:pPr>
              <w:spacing w:line="360" w:lineRule="exact"/>
              <w:jc w:val="center"/>
              <w:rPr>
                <w:b/>
                <w:szCs w:val="21"/>
              </w:rPr>
            </w:pPr>
            <w:r>
              <w:rPr>
                <w:b/>
                <w:szCs w:val="21"/>
              </w:rPr>
              <w:t>（或技术领域）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015" w:type="dxa"/>
            <w:vMerge w:val="restart"/>
            <w:vAlign w:val="center"/>
          </w:tcPr>
          <w:p>
            <w:pPr>
              <w:spacing w:line="520" w:lineRule="exact"/>
              <w:jc w:val="center"/>
              <w:rPr>
                <w:b/>
                <w:szCs w:val="21"/>
                <w:highlight w:val="yellow"/>
              </w:rPr>
            </w:pPr>
          </w:p>
        </w:tc>
        <w:tc>
          <w:tcPr>
            <w:tcW w:w="1042" w:type="dxa"/>
            <w:vMerge w:val="restart"/>
            <w:vAlign w:val="center"/>
          </w:tcPr>
          <w:p>
            <w:pPr>
              <w:spacing w:line="520" w:lineRule="exact"/>
              <w:jc w:val="center"/>
              <w:rPr>
                <w:b/>
                <w:szCs w:val="21"/>
                <w:highlight w:val="yellow"/>
              </w:rPr>
            </w:pPr>
          </w:p>
        </w:tc>
        <w:tc>
          <w:tcPr>
            <w:tcW w:w="1161" w:type="dxa"/>
            <w:vMerge w:val="restart"/>
            <w:vAlign w:val="center"/>
          </w:tcPr>
          <w:p>
            <w:pPr>
              <w:jc w:val="center"/>
              <w:rPr>
                <w:szCs w:val="21"/>
              </w:rPr>
            </w:pPr>
            <w:r>
              <w:rPr>
                <w:szCs w:val="21"/>
              </w:rPr>
              <w:t>工程设计活动（</w:t>
            </w:r>
            <w:r>
              <w:rPr>
                <w:rFonts w:ascii="Times New Roman" w:hAnsi="Times New Roman"/>
                <w:szCs w:val="21"/>
              </w:rPr>
              <w:t>7810</w:t>
            </w:r>
            <w:r>
              <w:rPr>
                <w:szCs w:val="21"/>
              </w:rPr>
              <w:t>）、公路工程建筑(</w:t>
            </w:r>
            <w:r>
              <w:rPr>
                <w:rFonts w:ascii="Times New Roman" w:hAnsi="Times New Roman"/>
                <w:szCs w:val="21"/>
              </w:rPr>
              <w:t>4812</w:t>
            </w:r>
            <w:r>
              <w:rPr>
                <w:szCs w:val="21"/>
              </w:rPr>
              <w:t>)、</w:t>
            </w:r>
          </w:p>
          <w:p>
            <w:pPr>
              <w:jc w:val="center"/>
              <w:rPr>
                <w:b/>
                <w:szCs w:val="21"/>
                <w:highlight w:val="yellow"/>
              </w:rPr>
            </w:pPr>
            <w:r>
              <w:rPr>
                <w:szCs w:val="21"/>
              </w:rPr>
              <w:t>工程管理服务（</w:t>
            </w:r>
            <w:r>
              <w:rPr>
                <w:rFonts w:ascii="Times New Roman" w:hAnsi="Times New Roman"/>
                <w:szCs w:val="21"/>
              </w:rPr>
              <w:t>7481</w:t>
            </w:r>
            <w:r>
              <w:rPr>
                <w:szCs w:val="21"/>
              </w:rPr>
              <w:t>）</w:t>
            </w:r>
          </w:p>
        </w:tc>
        <w:tc>
          <w:tcPr>
            <w:tcW w:w="1605" w:type="dxa"/>
            <w:vMerge w:val="restart"/>
            <w:vAlign w:val="center"/>
          </w:tcPr>
          <w:p>
            <w:pPr>
              <w:spacing w:line="120" w:lineRule="auto"/>
              <w:jc w:val="center"/>
              <w:rPr>
                <w:szCs w:val="21"/>
              </w:rPr>
            </w:pPr>
            <w:r>
              <w:rPr>
                <w:szCs w:val="21"/>
              </w:rPr>
              <w:t>城镇规划设计工程技术人员（</w:t>
            </w:r>
            <w:r>
              <w:rPr>
                <w:rFonts w:ascii="Times New Roman" w:hAnsi="Times New Roman"/>
                <w:szCs w:val="21"/>
              </w:rPr>
              <w:t>2</w:t>
            </w:r>
            <w:r>
              <w:rPr>
                <w:szCs w:val="21"/>
              </w:rPr>
              <w:t>-</w:t>
            </w:r>
            <w:r>
              <w:rPr>
                <w:rFonts w:ascii="Times New Roman" w:hAnsi="Times New Roman"/>
                <w:szCs w:val="21"/>
              </w:rPr>
              <w:t>02</w:t>
            </w:r>
            <w:r>
              <w:rPr>
                <w:szCs w:val="21"/>
              </w:rPr>
              <w:t>-</w:t>
            </w:r>
            <w:r>
              <w:rPr>
                <w:rFonts w:ascii="Times New Roman" w:hAnsi="Times New Roman"/>
                <w:szCs w:val="21"/>
              </w:rPr>
              <w:t>21</w:t>
            </w:r>
            <w:r>
              <w:rPr>
                <w:szCs w:val="21"/>
              </w:rPr>
              <w:t>-</w:t>
            </w:r>
            <w:r>
              <w:rPr>
                <w:rFonts w:ascii="Times New Roman" w:hAnsi="Times New Roman"/>
                <w:szCs w:val="21"/>
              </w:rPr>
              <w:t>01</w:t>
            </w:r>
            <w:r>
              <w:rPr>
                <w:szCs w:val="21"/>
              </w:rPr>
              <w:t>）、道路与桥梁工程技术人员(</w:t>
            </w:r>
            <w:r>
              <w:rPr>
                <w:rFonts w:ascii="Times New Roman" w:hAnsi="Times New Roman"/>
                <w:szCs w:val="21"/>
              </w:rPr>
              <w:t>2</w:t>
            </w:r>
            <w:r>
              <w:rPr>
                <w:szCs w:val="21"/>
              </w:rPr>
              <w:t>-</w:t>
            </w:r>
            <w:r>
              <w:rPr>
                <w:rFonts w:ascii="Times New Roman" w:hAnsi="Times New Roman"/>
                <w:szCs w:val="21"/>
              </w:rPr>
              <w:t>02</w:t>
            </w:r>
            <w:r>
              <w:rPr>
                <w:szCs w:val="21"/>
              </w:rPr>
              <w:t>-</w:t>
            </w:r>
            <w:r>
              <w:rPr>
                <w:rFonts w:ascii="Times New Roman" w:hAnsi="Times New Roman"/>
                <w:szCs w:val="21"/>
              </w:rPr>
              <w:t>21</w:t>
            </w:r>
            <w:r>
              <w:rPr>
                <w:szCs w:val="21"/>
              </w:rPr>
              <w:t>-</w:t>
            </w:r>
            <w:r>
              <w:rPr>
                <w:rFonts w:ascii="Times New Roman" w:hAnsi="Times New Roman"/>
                <w:szCs w:val="21"/>
              </w:rPr>
              <w:t>05</w:t>
            </w:r>
            <w:r>
              <w:rPr>
                <w:szCs w:val="21"/>
              </w:rPr>
              <w:t>)、</w:t>
            </w:r>
          </w:p>
          <w:p>
            <w:pPr>
              <w:spacing w:line="120" w:lineRule="auto"/>
              <w:jc w:val="center"/>
              <w:rPr>
                <w:szCs w:val="21"/>
              </w:rPr>
            </w:pPr>
            <w:r>
              <w:rPr>
                <w:szCs w:val="21"/>
              </w:rPr>
              <w:t>生产组织与管理工程技术人员（</w:t>
            </w:r>
            <w:r>
              <w:rPr>
                <w:rFonts w:ascii="Times New Roman" w:hAnsi="Times New Roman"/>
                <w:szCs w:val="21"/>
              </w:rPr>
              <w:t>2</w:t>
            </w:r>
            <w:r>
              <w:rPr>
                <w:szCs w:val="21"/>
              </w:rPr>
              <w:t>-</w:t>
            </w:r>
            <w:r>
              <w:rPr>
                <w:rFonts w:ascii="Times New Roman" w:hAnsi="Times New Roman"/>
                <w:szCs w:val="21"/>
              </w:rPr>
              <w:t>02</w:t>
            </w:r>
            <w:r>
              <w:rPr>
                <w:szCs w:val="21"/>
              </w:rPr>
              <w:t>-</w:t>
            </w:r>
            <w:r>
              <w:rPr>
                <w:rFonts w:ascii="Times New Roman" w:hAnsi="Times New Roman"/>
                <w:szCs w:val="21"/>
              </w:rPr>
              <w:t>34</w:t>
            </w:r>
            <w:r>
              <w:rPr>
                <w:szCs w:val="21"/>
              </w:rPr>
              <w:t>-</w:t>
            </w:r>
            <w:r>
              <w:rPr>
                <w:rFonts w:ascii="Times New Roman" w:hAnsi="Times New Roman"/>
                <w:szCs w:val="21"/>
              </w:rPr>
              <w:t>04</w:t>
            </w:r>
            <w:r>
              <w:rPr>
                <w:szCs w:val="21"/>
              </w:rPr>
              <w:t>）</w:t>
            </w:r>
          </w:p>
        </w:tc>
        <w:tc>
          <w:tcPr>
            <w:tcW w:w="1619" w:type="dxa"/>
            <w:tcBorders>
              <w:bottom w:val="single" w:color="auto" w:sz="4" w:space="0"/>
            </w:tcBorders>
            <w:shd w:val="clear" w:color="auto" w:fill="FFFFFF"/>
            <w:vAlign w:val="center"/>
          </w:tcPr>
          <w:p>
            <w:pPr>
              <w:jc w:val="center"/>
            </w:pPr>
            <w:r>
              <w:t>设计领域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jc w:val="center"/>
        </w:trPr>
        <w:tc>
          <w:tcPr>
            <w:tcW w:w="1015" w:type="dxa"/>
            <w:vMerge w:val="continue"/>
            <w:vAlign w:val="center"/>
          </w:tcPr>
          <w:p>
            <w:pPr>
              <w:spacing w:line="520" w:lineRule="exact"/>
              <w:jc w:val="center"/>
              <w:rPr>
                <w:b/>
                <w:szCs w:val="21"/>
                <w:highlight w:val="yellow"/>
              </w:rPr>
            </w:pPr>
          </w:p>
        </w:tc>
        <w:tc>
          <w:tcPr>
            <w:tcW w:w="1042" w:type="dxa"/>
            <w:vMerge w:val="continue"/>
            <w:vAlign w:val="center"/>
          </w:tcPr>
          <w:p>
            <w:pPr>
              <w:spacing w:line="520" w:lineRule="exact"/>
              <w:jc w:val="center"/>
              <w:rPr>
                <w:b/>
                <w:szCs w:val="21"/>
                <w:highlight w:val="yellow"/>
              </w:rPr>
            </w:pPr>
          </w:p>
        </w:tc>
        <w:tc>
          <w:tcPr>
            <w:tcW w:w="1161" w:type="dxa"/>
            <w:vMerge w:val="continue"/>
            <w:vAlign w:val="center"/>
          </w:tcPr>
          <w:p>
            <w:pPr>
              <w:jc w:val="center"/>
              <w:rPr>
                <w:szCs w:val="21"/>
              </w:rPr>
            </w:pPr>
          </w:p>
        </w:tc>
        <w:tc>
          <w:tcPr>
            <w:tcW w:w="1605" w:type="dxa"/>
            <w:vMerge w:val="continue"/>
            <w:vAlign w:val="center"/>
          </w:tcPr>
          <w:p>
            <w:pPr>
              <w:spacing w:line="120" w:lineRule="auto"/>
              <w:jc w:val="center"/>
              <w:rPr>
                <w:szCs w:val="21"/>
              </w:rPr>
            </w:pPr>
          </w:p>
        </w:tc>
        <w:tc>
          <w:tcPr>
            <w:tcW w:w="1619" w:type="dxa"/>
            <w:tcBorders>
              <w:top w:val="single" w:color="auto" w:sz="4" w:space="0"/>
              <w:bottom w:val="single" w:color="auto" w:sz="4" w:space="0"/>
            </w:tcBorders>
            <w:shd w:val="clear" w:color="auto" w:fill="auto"/>
            <w:vAlign w:val="center"/>
          </w:tcPr>
          <w:p>
            <w:pPr>
              <w:jc w:val="center"/>
            </w:pPr>
            <w:r>
              <w:t>施工领域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015" w:type="dxa"/>
            <w:vMerge w:val="continue"/>
            <w:vAlign w:val="center"/>
          </w:tcPr>
          <w:p>
            <w:pPr>
              <w:spacing w:line="520" w:lineRule="exact"/>
              <w:jc w:val="center"/>
              <w:rPr>
                <w:b/>
                <w:szCs w:val="21"/>
                <w:highlight w:val="yellow"/>
              </w:rPr>
            </w:pPr>
          </w:p>
        </w:tc>
        <w:tc>
          <w:tcPr>
            <w:tcW w:w="1042" w:type="dxa"/>
            <w:vMerge w:val="continue"/>
            <w:vAlign w:val="center"/>
          </w:tcPr>
          <w:p>
            <w:pPr>
              <w:spacing w:line="520" w:lineRule="exact"/>
              <w:jc w:val="center"/>
              <w:rPr>
                <w:b/>
                <w:szCs w:val="21"/>
                <w:highlight w:val="yellow"/>
              </w:rPr>
            </w:pPr>
          </w:p>
        </w:tc>
        <w:tc>
          <w:tcPr>
            <w:tcW w:w="1161" w:type="dxa"/>
            <w:vMerge w:val="continue"/>
            <w:vAlign w:val="center"/>
          </w:tcPr>
          <w:p>
            <w:pPr>
              <w:jc w:val="center"/>
              <w:rPr>
                <w:szCs w:val="21"/>
              </w:rPr>
            </w:pPr>
          </w:p>
        </w:tc>
        <w:tc>
          <w:tcPr>
            <w:tcW w:w="1605" w:type="dxa"/>
            <w:vMerge w:val="continue"/>
            <w:vAlign w:val="center"/>
          </w:tcPr>
          <w:p>
            <w:pPr>
              <w:spacing w:line="120" w:lineRule="auto"/>
              <w:jc w:val="center"/>
              <w:rPr>
                <w:szCs w:val="21"/>
              </w:rPr>
            </w:pPr>
          </w:p>
        </w:tc>
        <w:tc>
          <w:tcPr>
            <w:tcW w:w="1619" w:type="dxa"/>
            <w:tcBorders>
              <w:top w:val="single" w:color="auto" w:sz="4" w:space="0"/>
              <w:bottom w:val="single" w:color="auto" w:sz="4" w:space="0"/>
            </w:tcBorders>
            <w:shd w:val="clear" w:color="auto" w:fill="auto"/>
            <w:vAlign w:val="center"/>
          </w:tcPr>
          <w:p>
            <w:pPr>
              <w:jc w:val="center"/>
            </w:pPr>
            <w:r>
              <w:t>管理领域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015" w:type="dxa"/>
            <w:vMerge w:val="continue"/>
            <w:vAlign w:val="center"/>
          </w:tcPr>
          <w:p>
            <w:pPr>
              <w:spacing w:line="520" w:lineRule="exact"/>
              <w:jc w:val="center"/>
              <w:rPr>
                <w:b/>
                <w:szCs w:val="21"/>
                <w:highlight w:val="yellow"/>
              </w:rPr>
            </w:pPr>
          </w:p>
        </w:tc>
        <w:tc>
          <w:tcPr>
            <w:tcW w:w="1042" w:type="dxa"/>
            <w:vMerge w:val="continue"/>
            <w:vAlign w:val="center"/>
          </w:tcPr>
          <w:p>
            <w:pPr>
              <w:spacing w:line="520" w:lineRule="exact"/>
              <w:jc w:val="center"/>
              <w:rPr>
                <w:b/>
                <w:szCs w:val="21"/>
                <w:highlight w:val="yellow"/>
              </w:rPr>
            </w:pPr>
          </w:p>
        </w:tc>
        <w:tc>
          <w:tcPr>
            <w:tcW w:w="1161" w:type="dxa"/>
            <w:vMerge w:val="continue"/>
            <w:vAlign w:val="center"/>
          </w:tcPr>
          <w:p>
            <w:pPr>
              <w:jc w:val="center"/>
              <w:rPr>
                <w:szCs w:val="21"/>
              </w:rPr>
            </w:pPr>
          </w:p>
        </w:tc>
        <w:tc>
          <w:tcPr>
            <w:tcW w:w="1605" w:type="dxa"/>
            <w:vMerge w:val="continue"/>
            <w:vAlign w:val="center"/>
          </w:tcPr>
          <w:p>
            <w:pPr>
              <w:spacing w:line="120" w:lineRule="auto"/>
              <w:jc w:val="center"/>
              <w:rPr>
                <w:szCs w:val="21"/>
              </w:rPr>
            </w:pPr>
          </w:p>
        </w:tc>
        <w:tc>
          <w:tcPr>
            <w:tcW w:w="1619" w:type="dxa"/>
            <w:tcBorders>
              <w:top w:val="single" w:color="auto" w:sz="4" w:space="0"/>
              <w:bottom w:val="single" w:color="auto" w:sz="4" w:space="0"/>
            </w:tcBorders>
            <w:shd w:val="clear" w:color="auto" w:fill="auto"/>
            <w:vAlign w:val="center"/>
          </w:tcPr>
          <w:p>
            <w:pPr>
              <w:jc w:val="center"/>
            </w:pPr>
            <w:r>
              <w:t>试验检测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015" w:type="dxa"/>
            <w:vMerge w:val="continue"/>
            <w:vAlign w:val="center"/>
          </w:tcPr>
          <w:p>
            <w:pPr>
              <w:spacing w:line="520" w:lineRule="exact"/>
              <w:jc w:val="center"/>
              <w:rPr>
                <w:b/>
                <w:szCs w:val="21"/>
                <w:highlight w:val="yellow"/>
              </w:rPr>
            </w:pPr>
          </w:p>
        </w:tc>
        <w:tc>
          <w:tcPr>
            <w:tcW w:w="1042" w:type="dxa"/>
            <w:vMerge w:val="continue"/>
            <w:vAlign w:val="center"/>
          </w:tcPr>
          <w:p>
            <w:pPr>
              <w:spacing w:line="520" w:lineRule="exact"/>
              <w:jc w:val="center"/>
              <w:rPr>
                <w:b/>
                <w:szCs w:val="21"/>
                <w:highlight w:val="yellow"/>
              </w:rPr>
            </w:pPr>
          </w:p>
        </w:tc>
        <w:tc>
          <w:tcPr>
            <w:tcW w:w="1161" w:type="dxa"/>
            <w:vMerge w:val="continue"/>
            <w:vAlign w:val="center"/>
          </w:tcPr>
          <w:p>
            <w:pPr>
              <w:jc w:val="center"/>
              <w:rPr>
                <w:szCs w:val="21"/>
              </w:rPr>
            </w:pPr>
          </w:p>
        </w:tc>
        <w:tc>
          <w:tcPr>
            <w:tcW w:w="1605" w:type="dxa"/>
            <w:vMerge w:val="continue"/>
            <w:vAlign w:val="center"/>
          </w:tcPr>
          <w:p>
            <w:pPr>
              <w:spacing w:line="120" w:lineRule="auto"/>
              <w:jc w:val="center"/>
              <w:rPr>
                <w:szCs w:val="21"/>
              </w:rPr>
            </w:pPr>
          </w:p>
        </w:tc>
        <w:tc>
          <w:tcPr>
            <w:tcW w:w="1619" w:type="dxa"/>
            <w:tcBorders>
              <w:top w:val="single" w:color="auto" w:sz="4" w:space="0"/>
              <w:bottom w:val="single" w:color="auto" w:sz="4" w:space="0"/>
            </w:tcBorders>
            <w:shd w:val="clear" w:color="auto" w:fill="auto"/>
            <w:vAlign w:val="center"/>
          </w:tcPr>
          <w:p>
            <w:pPr>
              <w:jc w:val="center"/>
            </w:pPr>
            <w:r>
              <w:t>工程测量</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contextualSpacing/>
        <w:textAlignment w:val="auto"/>
        <w:outlineLvl w:val="0"/>
        <w:rPr>
          <w:rFonts w:hint="default" w:eastAsia="宋体"/>
          <w:b/>
          <w:bCs/>
          <w:sz w:val="28"/>
          <w:lang w:val="en-US" w:eastAsia="zh-CN"/>
        </w:rPr>
      </w:pPr>
      <w:r>
        <w:rPr>
          <w:b/>
          <w:bCs/>
          <w:sz w:val="28"/>
        </w:rPr>
        <w:t>五、培养目标</w:t>
      </w:r>
      <w:r>
        <w:rPr>
          <w:rFonts w:hint="eastAsia"/>
          <w:b/>
          <w:bCs/>
          <w:sz w:val="28"/>
          <w:lang w:val="en-US" w:eastAsia="zh-CN"/>
        </w:rPr>
        <w:t>与培养规格</w:t>
      </w:r>
    </w:p>
    <w:p>
      <w:pPr>
        <w:numPr>
          <w:ilvl w:val="0"/>
          <w:numId w:val="1"/>
        </w:numPr>
        <w:tabs>
          <w:tab w:val="left" w:pos="1276"/>
        </w:tabs>
        <w:spacing w:line="360" w:lineRule="auto"/>
        <w:ind w:left="1134" w:hanging="709"/>
        <w:contextualSpacing/>
        <w:outlineLvl w:val="1"/>
        <w:rPr>
          <w:b/>
          <w:bCs/>
          <w:sz w:val="24"/>
        </w:rPr>
      </w:pPr>
      <w:r>
        <w:rPr>
          <w:rFonts w:hint="eastAsia"/>
          <w:b/>
          <w:sz w:val="28"/>
          <w:lang w:val="en-US" w:eastAsia="zh-CN"/>
        </w:rPr>
        <w:t>培养目标</w:t>
      </w:r>
    </w:p>
    <w:p>
      <w:pPr>
        <w:spacing w:line="360" w:lineRule="auto"/>
        <w:ind w:firstLine="482" w:firstLineChars="200"/>
        <w:contextualSpacing/>
        <w:rPr>
          <w:sz w:val="24"/>
        </w:rPr>
      </w:pPr>
      <w:r>
        <w:rPr>
          <w:b/>
          <w:bCs/>
          <w:sz w:val="24"/>
        </w:rPr>
        <w:t>土木工程专业</w:t>
      </w:r>
      <w:r>
        <w:rPr>
          <w:sz w:val="24"/>
        </w:rPr>
        <w:t>主要面向交通建设行业的勘测设计、施工、质量监控、项目管理、交通规划等企事业单位，培养德、智、体、美、劳全面发展，掌握</w:t>
      </w:r>
      <w:r>
        <w:rPr>
          <w:rFonts w:hint="eastAsia"/>
          <w:sz w:val="24"/>
        </w:rPr>
        <w:t>土木工程</w:t>
      </w:r>
      <w:r>
        <w:rPr>
          <w:sz w:val="24"/>
        </w:rPr>
        <w:t>专业</w:t>
      </w:r>
      <w:r>
        <w:rPr>
          <w:rFonts w:hint="eastAsia"/>
          <w:sz w:val="24"/>
        </w:rPr>
        <w:t>交通土建方向的</w:t>
      </w:r>
      <w:r>
        <w:rPr>
          <w:sz w:val="24"/>
        </w:rPr>
        <w:t>基础理论和知识，具有较强的工程实践能力，良好职业道德、创新精神和创业素质，能适应现代化交通建设需要的</w:t>
      </w:r>
      <w:r>
        <w:rPr>
          <w:rFonts w:hint="eastAsia" w:ascii="宋体" w:hAnsi="宋体" w:eastAsia="宋体" w:cs="宋体"/>
          <w:b/>
          <w:sz w:val="24"/>
        </w:rPr>
        <w:t>“精施工、会设计、懂管理”</w:t>
      </w:r>
      <w:r>
        <w:rPr>
          <w:sz w:val="24"/>
        </w:rPr>
        <w:t>高端</w:t>
      </w:r>
      <w:r>
        <w:rPr>
          <w:rFonts w:hint="eastAsia"/>
          <w:sz w:val="24"/>
        </w:rPr>
        <w:t>复合型</w:t>
      </w:r>
      <w:r>
        <w:rPr>
          <w:sz w:val="24"/>
        </w:rPr>
        <w:t>技术技能人才。</w:t>
      </w:r>
    </w:p>
    <w:p>
      <w:pPr>
        <w:numPr>
          <w:ilvl w:val="0"/>
          <w:numId w:val="1"/>
        </w:numPr>
        <w:tabs>
          <w:tab w:val="left" w:pos="1276"/>
        </w:tabs>
        <w:spacing w:line="360" w:lineRule="auto"/>
        <w:ind w:left="1134" w:hanging="709"/>
        <w:contextualSpacing/>
        <w:outlineLvl w:val="1"/>
        <w:rPr>
          <w:b/>
          <w:sz w:val="28"/>
        </w:rPr>
      </w:pPr>
      <w:r>
        <w:rPr>
          <w:rFonts w:hint="eastAsia"/>
          <w:b/>
          <w:sz w:val="28"/>
          <w:lang w:val="en-US" w:eastAsia="zh-CN"/>
        </w:rPr>
        <w:t>培养规格</w:t>
      </w:r>
    </w:p>
    <w:p>
      <w:pPr>
        <w:spacing w:line="360" w:lineRule="auto"/>
        <w:ind w:firstLine="480" w:firstLineChars="200"/>
        <w:contextualSpacing/>
        <w:rPr>
          <w:sz w:val="24"/>
        </w:rPr>
      </w:pPr>
      <w:r>
        <w:rPr>
          <w:sz w:val="24"/>
        </w:rPr>
        <w:t>本专业毕业生应具备的素质、知识和能力等方面达到以下要求：</w:t>
      </w:r>
    </w:p>
    <w:p>
      <w:pPr>
        <w:numPr>
          <w:ilvl w:val="0"/>
          <w:numId w:val="0"/>
        </w:numPr>
        <w:tabs>
          <w:tab w:val="left" w:pos="1276"/>
        </w:tabs>
        <w:spacing w:line="360" w:lineRule="auto"/>
        <w:ind w:left="425" w:leftChars="0"/>
        <w:contextualSpacing/>
        <w:outlineLvl w:val="1"/>
        <w:rPr>
          <w:b/>
          <w:sz w:val="28"/>
        </w:rPr>
      </w:pPr>
      <w:r>
        <w:rPr>
          <w:rFonts w:hint="eastAsia" w:ascii="Times New Roman" w:hAnsi="Times New Roman"/>
          <w:b/>
          <w:sz w:val="28"/>
          <w:lang w:val="en-US" w:eastAsia="zh-CN"/>
        </w:rPr>
        <w:t>1</w:t>
      </w:r>
      <w:r>
        <w:rPr>
          <w:rFonts w:hint="eastAsia"/>
          <w:b/>
          <w:sz w:val="28"/>
          <w:lang w:val="en-US" w:eastAsia="zh-CN"/>
        </w:rPr>
        <w:t xml:space="preserve">. </w:t>
      </w:r>
      <w:r>
        <w:rPr>
          <w:b/>
          <w:sz w:val="28"/>
        </w:rPr>
        <w:t>素质</w:t>
      </w:r>
    </w:p>
    <w:p>
      <w:pPr>
        <w:spacing w:line="360" w:lineRule="auto"/>
        <w:ind w:firstLine="482" w:firstLineChars="200"/>
        <w:contextualSpacing/>
        <w:outlineLvl w:val="2"/>
        <w:rPr>
          <w:b/>
          <w:sz w:val="24"/>
        </w:rPr>
      </w:pPr>
      <w:r>
        <w:rPr>
          <w:rFonts w:hint="eastAsia"/>
          <w:b/>
          <w:sz w:val="24"/>
          <w:lang w:eastAsia="zh-CN"/>
        </w:rPr>
        <w:t>（</w:t>
      </w:r>
      <w:r>
        <w:rPr>
          <w:rFonts w:hint="eastAsia" w:ascii="Times New Roman" w:hAnsi="Times New Roman"/>
          <w:b/>
          <w:sz w:val="24"/>
          <w:lang w:val="en-US" w:eastAsia="zh-CN"/>
        </w:rPr>
        <w:t>1</w:t>
      </w:r>
      <w:r>
        <w:rPr>
          <w:rFonts w:hint="eastAsia"/>
          <w:b/>
          <w:sz w:val="24"/>
          <w:lang w:eastAsia="zh-CN"/>
        </w:rPr>
        <w:t>）</w:t>
      </w:r>
      <w:r>
        <w:rPr>
          <w:b/>
          <w:sz w:val="24"/>
        </w:rPr>
        <w:t>思想政治素质</w:t>
      </w:r>
    </w:p>
    <w:p>
      <w:pPr>
        <w:spacing w:line="360" w:lineRule="auto"/>
        <w:ind w:firstLine="480" w:firstLineChars="200"/>
        <w:contextualSpacing/>
        <w:rPr>
          <w:bCs/>
          <w:sz w:val="24"/>
        </w:rPr>
      </w:pPr>
      <w:r>
        <w:rPr>
          <w:bCs/>
          <w:sz w:val="24"/>
        </w:rPr>
        <w:t>有崇高的理想信念，正确的政治方向和远大的人生志向，爱党、爱国、爱社会主义，牢记使命，自信自励；有一定的马克思主义理论修养，较高的思想道德素质和法治素养，坚持</w:t>
      </w:r>
      <w:r>
        <w:rPr>
          <w:rFonts w:ascii="宋体" w:hAnsi="宋体"/>
          <w:bCs/>
          <w:sz w:val="24"/>
        </w:rPr>
        <w:t>“社会主义核心价值观”</w:t>
      </w:r>
      <w:r>
        <w:rPr>
          <w:bCs/>
          <w:sz w:val="24"/>
        </w:rPr>
        <w:t>，能成为中国特色社会主义合格建设者和可靠接班人，担当民族复兴大任的时代新人。</w:t>
      </w:r>
    </w:p>
    <w:p>
      <w:pPr>
        <w:spacing w:line="360" w:lineRule="auto"/>
        <w:ind w:firstLine="482" w:firstLineChars="200"/>
        <w:contextualSpacing/>
        <w:outlineLvl w:val="2"/>
        <w:rPr>
          <w:b/>
          <w:sz w:val="24"/>
        </w:rPr>
      </w:pPr>
      <w:r>
        <w:rPr>
          <w:rFonts w:hint="eastAsia"/>
          <w:b/>
          <w:sz w:val="24"/>
          <w:lang w:eastAsia="zh-CN"/>
        </w:rPr>
        <w:t>（</w:t>
      </w:r>
      <w:r>
        <w:rPr>
          <w:rFonts w:hint="eastAsia" w:ascii="Times New Roman" w:hAnsi="Times New Roman"/>
          <w:b/>
          <w:sz w:val="24"/>
          <w:lang w:val="en-US" w:eastAsia="zh-CN"/>
        </w:rPr>
        <w:t>2</w:t>
      </w:r>
      <w:r>
        <w:rPr>
          <w:rFonts w:hint="eastAsia"/>
          <w:b/>
          <w:sz w:val="24"/>
          <w:lang w:eastAsia="zh-CN"/>
        </w:rPr>
        <w:t>）</w:t>
      </w:r>
      <w:r>
        <w:rPr>
          <w:b/>
          <w:sz w:val="24"/>
        </w:rPr>
        <w:t>基本素质</w:t>
      </w:r>
    </w:p>
    <w:p>
      <w:pPr>
        <w:numPr>
          <w:ilvl w:val="0"/>
          <w:numId w:val="2"/>
        </w:numPr>
        <w:spacing w:line="360" w:lineRule="auto"/>
        <w:ind w:left="0" w:leftChars="0" w:firstLine="480" w:firstLineChars="200"/>
        <w:rPr>
          <w:sz w:val="24"/>
        </w:rPr>
      </w:pPr>
      <w:r>
        <w:rPr>
          <w:sz w:val="24"/>
        </w:rPr>
        <w:t>能遵守国家宪法和法律，遵守交通建设工程行业的相关法律、法规，具有良好的职业道德；</w:t>
      </w:r>
    </w:p>
    <w:p>
      <w:pPr>
        <w:numPr>
          <w:ilvl w:val="0"/>
          <w:numId w:val="2"/>
        </w:numPr>
        <w:spacing w:line="360" w:lineRule="auto"/>
        <w:ind w:left="0" w:leftChars="0" w:firstLine="480" w:firstLineChars="200"/>
        <w:rPr>
          <w:sz w:val="24"/>
        </w:rPr>
      </w:pPr>
      <w:r>
        <w:rPr>
          <w:rFonts w:hint="eastAsia"/>
          <w:sz w:val="24"/>
        </w:rPr>
        <w:t>诚实守信、尊重生命、热爱劳动，具有社会责任感和社会参与意识；</w:t>
      </w:r>
    </w:p>
    <w:p>
      <w:pPr>
        <w:numPr>
          <w:ilvl w:val="0"/>
          <w:numId w:val="2"/>
        </w:numPr>
        <w:spacing w:line="360" w:lineRule="auto"/>
        <w:ind w:left="0" w:leftChars="0" w:firstLine="480" w:firstLineChars="200"/>
        <w:rPr>
          <w:sz w:val="24"/>
        </w:rPr>
      </w:pPr>
      <w:r>
        <w:rPr>
          <w:sz w:val="24"/>
        </w:rPr>
        <w:t>具有良好的社会适应、人际交流、团队协作等能力和职业服务意识；</w:t>
      </w:r>
    </w:p>
    <w:p>
      <w:pPr>
        <w:numPr>
          <w:ilvl w:val="0"/>
          <w:numId w:val="2"/>
        </w:numPr>
        <w:spacing w:line="360" w:lineRule="auto"/>
        <w:ind w:left="0" w:leftChars="0" w:firstLine="480" w:firstLineChars="200"/>
        <w:rPr>
          <w:sz w:val="24"/>
        </w:rPr>
      </w:pPr>
      <w:r>
        <w:rPr>
          <w:sz w:val="24"/>
        </w:rPr>
        <w:t>具有安全、文明生产和环境保护的意识；</w:t>
      </w:r>
    </w:p>
    <w:p>
      <w:pPr>
        <w:numPr>
          <w:ilvl w:val="0"/>
          <w:numId w:val="2"/>
        </w:numPr>
        <w:spacing w:line="360" w:lineRule="auto"/>
        <w:ind w:left="0" w:leftChars="0" w:firstLine="480" w:firstLineChars="200"/>
        <w:rPr>
          <w:sz w:val="24"/>
        </w:rPr>
      </w:pPr>
      <w:r>
        <w:rPr>
          <w:sz w:val="24"/>
        </w:rPr>
        <w:t>具有良好的文化修养、健康的心理素质和体魄；</w:t>
      </w:r>
    </w:p>
    <w:p>
      <w:pPr>
        <w:numPr>
          <w:ilvl w:val="0"/>
          <w:numId w:val="2"/>
        </w:numPr>
        <w:spacing w:line="360" w:lineRule="auto"/>
        <w:ind w:left="0" w:leftChars="0" w:firstLine="480" w:firstLineChars="200"/>
        <w:rPr>
          <w:sz w:val="24"/>
        </w:rPr>
      </w:pPr>
      <w:r>
        <w:rPr>
          <w:rFonts w:hint="eastAsia"/>
          <w:sz w:val="24"/>
        </w:rPr>
        <w:t>具有良好的审美和人文素养；</w:t>
      </w:r>
    </w:p>
    <w:p>
      <w:pPr>
        <w:numPr>
          <w:ilvl w:val="0"/>
          <w:numId w:val="2"/>
        </w:numPr>
        <w:spacing w:line="360" w:lineRule="auto"/>
        <w:ind w:left="0" w:leftChars="0" w:firstLine="480" w:firstLineChars="200"/>
        <w:rPr>
          <w:sz w:val="24"/>
        </w:rPr>
      </w:pPr>
      <w:r>
        <w:rPr>
          <w:sz w:val="24"/>
        </w:rPr>
        <w:t>具有一定的创新、创业意识。</w:t>
      </w:r>
    </w:p>
    <w:p>
      <w:pPr>
        <w:numPr>
          <w:ilvl w:val="0"/>
          <w:numId w:val="0"/>
        </w:numPr>
        <w:tabs>
          <w:tab w:val="left" w:pos="1276"/>
        </w:tabs>
        <w:spacing w:line="360" w:lineRule="auto"/>
        <w:ind w:left="425" w:leftChars="0"/>
        <w:contextualSpacing/>
        <w:outlineLvl w:val="1"/>
        <w:rPr>
          <w:b/>
          <w:sz w:val="28"/>
        </w:rPr>
      </w:pPr>
      <w:r>
        <w:rPr>
          <w:rFonts w:hint="eastAsia" w:ascii="Times New Roman" w:hAnsi="Times New Roman"/>
          <w:b/>
          <w:sz w:val="28"/>
          <w:lang w:val="en-US" w:eastAsia="zh-CN"/>
        </w:rPr>
        <w:t>2</w:t>
      </w:r>
      <w:r>
        <w:rPr>
          <w:rFonts w:hint="eastAsia"/>
          <w:b/>
          <w:sz w:val="28"/>
          <w:lang w:val="en-US" w:eastAsia="zh-CN"/>
        </w:rPr>
        <w:t xml:space="preserve">. </w:t>
      </w:r>
      <w:r>
        <w:rPr>
          <w:b/>
          <w:sz w:val="28"/>
        </w:rPr>
        <w:t>知识</w:t>
      </w:r>
    </w:p>
    <w:p>
      <w:pPr>
        <w:numPr>
          <w:ilvl w:val="0"/>
          <w:numId w:val="3"/>
        </w:numPr>
        <w:spacing w:line="360" w:lineRule="auto"/>
        <w:ind w:left="0" w:leftChars="0" w:firstLine="480" w:firstLineChars="200"/>
        <w:rPr>
          <w:sz w:val="24"/>
        </w:rPr>
      </w:pPr>
      <w:r>
        <w:rPr>
          <w:sz w:val="24"/>
        </w:rPr>
        <w:t>具有必要的文化基础、英语、计算机应用的基本知识；</w:t>
      </w:r>
    </w:p>
    <w:p>
      <w:pPr>
        <w:numPr>
          <w:ilvl w:val="0"/>
          <w:numId w:val="3"/>
        </w:numPr>
        <w:spacing w:line="360" w:lineRule="auto"/>
        <w:ind w:left="0" w:leftChars="0" w:firstLine="480" w:firstLineChars="200"/>
        <w:rPr>
          <w:sz w:val="24"/>
        </w:rPr>
      </w:pPr>
      <w:r>
        <w:rPr>
          <w:sz w:val="24"/>
        </w:rPr>
        <w:t>具有识读和绘制工程图的基本知识；</w:t>
      </w:r>
    </w:p>
    <w:p>
      <w:pPr>
        <w:numPr>
          <w:ilvl w:val="0"/>
          <w:numId w:val="3"/>
        </w:numPr>
        <w:spacing w:line="360" w:lineRule="auto"/>
        <w:ind w:left="0" w:leftChars="0" w:firstLine="480" w:firstLineChars="200"/>
        <w:rPr>
          <w:sz w:val="24"/>
        </w:rPr>
      </w:pPr>
      <w:r>
        <w:rPr>
          <w:sz w:val="24"/>
        </w:rPr>
        <w:t>掌握交通土建工程建设所必需的测设、试验检测、施工和管理等专业基本知识；</w:t>
      </w:r>
    </w:p>
    <w:p>
      <w:pPr>
        <w:numPr>
          <w:ilvl w:val="0"/>
          <w:numId w:val="3"/>
        </w:numPr>
        <w:spacing w:line="360" w:lineRule="auto"/>
        <w:ind w:left="0" w:leftChars="0" w:firstLine="480" w:firstLineChars="200"/>
        <w:rPr>
          <w:sz w:val="24"/>
        </w:rPr>
      </w:pPr>
      <w:r>
        <w:rPr>
          <w:sz w:val="24"/>
        </w:rPr>
        <w:t>掌握施工现场管理、工程计量的基础知识；</w:t>
      </w:r>
    </w:p>
    <w:p>
      <w:pPr>
        <w:numPr>
          <w:ilvl w:val="0"/>
          <w:numId w:val="3"/>
        </w:numPr>
        <w:spacing w:line="360" w:lineRule="auto"/>
        <w:ind w:left="0" w:leftChars="0" w:firstLine="480" w:firstLineChars="200"/>
        <w:rPr>
          <w:sz w:val="24"/>
        </w:rPr>
      </w:pPr>
      <w:r>
        <w:rPr>
          <w:sz w:val="24"/>
        </w:rPr>
        <w:t>熟悉工程建设法律、法规及工程质量管理体系；</w:t>
      </w:r>
    </w:p>
    <w:p>
      <w:pPr>
        <w:numPr>
          <w:ilvl w:val="0"/>
          <w:numId w:val="3"/>
        </w:numPr>
        <w:spacing w:line="360" w:lineRule="auto"/>
        <w:ind w:left="0" w:leftChars="0" w:firstLine="480" w:firstLineChars="200"/>
        <w:rPr>
          <w:sz w:val="24"/>
        </w:rPr>
      </w:pPr>
      <w:r>
        <w:rPr>
          <w:rFonts w:hint="eastAsia"/>
          <w:sz w:val="24"/>
        </w:rPr>
        <w:t>熟悉交通基础设施建设领域</w:t>
      </w:r>
      <w:r>
        <w:rPr>
          <w:sz w:val="24"/>
        </w:rPr>
        <w:t>发展动态</w:t>
      </w:r>
      <w:r>
        <w:rPr>
          <w:rFonts w:hint="eastAsia"/>
          <w:sz w:val="24"/>
        </w:rPr>
        <w:t>，掌握新技术、新工艺、新材料等方面的知识</w:t>
      </w:r>
      <w:r>
        <w:rPr>
          <w:sz w:val="24"/>
        </w:rPr>
        <w:t>；</w:t>
      </w:r>
    </w:p>
    <w:p>
      <w:pPr>
        <w:numPr>
          <w:ilvl w:val="0"/>
          <w:numId w:val="3"/>
        </w:numPr>
        <w:spacing w:line="360" w:lineRule="auto"/>
        <w:ind w:left="0" w:leftChars="0" w:firstLine="480" w:firstLineChars="200"/>
        <w:rPr>
          <w:sz w:val="24"/>
        </w:rPr>
      </w:pPr>
      <w:r>
        <w:rPr>
          <w:rFonts w:hint="eastAsia"/>
          <w:sz w:val="24"/>
        </w:rPr>
        <w:t>了解</w:t>
      </w:r>
      <w:r>
        <w:rPr>
          <w:rFonts w:hint="eastAsia" w:ascii="Times New Roman" w:hAnsi="Times New Roman"/>
          <w:sz w:val="24"/>
        </w:rPr>
        <w:t>BIM</w:t>
      </w:r>
      <w:r>
        <w:rPr>
          <w:rFonts w:hint="eastAsia"/>
          <w:sz w:val="24"/>
        </w:rPr>
        <w:t>建模，智慧工地、智慧管控等交通信息化技术相关知识。</w:t>
      </w:r>
    </w:p>
    <w:p>
      <w:pPr>
        <w:numPr>
          <w:ilvl w:val="0"/>
          <w:numId w:val="0"/>
        </w:numPr>
        <w:tabs>
          <w:tab w:val="left" w:pos="1276"/>
        </w:tabs>
        <w:spacing w:line="360" w:lineRule="auto"/>
        <w:ind w:left="425" w:leftChars="0"/>
        <w:contextualSpacing/>
        <w:outlineLvl w:val="1"/>
        <w:rPr>
          <w:b/>
          <w:sz w:val="28"/>
        </w:rPr>
      </w:pPr>
      <w:r>
        <w:rPr>
          <w:rFonts w:hint="eastAsia" w:ascii="Times New Roman" w:hAnsi="Times New Roman"/>
          <w:b/>
          <w:sz w:val="28"/>
          <w:lang w:val="en-US" w:eastAsia="zh-CN"/>
        </w:rPr>
        <w:t>3</w:t>
      </w:r>
      <w:r>
        <w:rPr>
          <w:rFonts w:hint="eastAsia"/>
          <w:b/>
          <w:sz w:val="28"/>
          <w:lang w:val="en-US" w:eastAsia="zh-CN"/>
        </w:rPr>
        <w:t xml:space="preserve">. </w:t>
      </w:r>
      <w:r>
        <w:rPr>
          <w:b/>
          <w:sz w:val="28"/>
        </w:rPr>
        <w:t>能力</w:t>
      </w:r>
    </w:p>
    <w:p>
      <w:pPr>
        <w:numPr>
          <w:ilvl w:val="0"/>
          <w:numId w:val="4"/>
        </w:numPr>
        <w:spacing w:line="360" w:lineRule="auto"/>
        <w:ind w:left="0" w:leftChars="0" w:firstLine="480" w:firstLineChars="200"/>
        <w:rPr>
          <w:sz w:val="24"/>
        </w:rPr>
      </w:pPr>
      <w:r>
        <w:rPr>
          <w:sz w:val="24"/>
        </w:rPr>
        <w:t>具有一定的英语应用能力，能阅读和翻译本专业外文资料；</w:t>
      </w:r>
    </w:p>
    <w:p>
      <w:pPr>
        <w:numPr>
          <w:ilvl w:val="0"/>
          <w:numId w:val="4"/>
        </w:numPr>
        <w:spacing w:line="360" w:lineRule="auto"/>
        <w:ind w:left="0" w:leftChars="0" w:firstLine="480" w:firstLineChars="200"/>
        <w:rPr>
          <w:sz w:val="24"/>
        </w:rPr>
      </w:pPr>
      <w:r>
        <w:rPr>
          <w:sz w:val="24"/>
        </w:rPr>
        <w:t>具有计算机操作和安装使用常用专业软件的能力；</w:t>
      </w:r>
    </w:p>
    <w:p>
      <w:pPr>
        <w:numPr>
          <w:ilvl w:val="0"/>
          <w:numId w:val="4"/>
        </w:numPr>
        <w:spacing w:line="360" w:lineRule="auto"/>
        <w:ind w:left="0" w:leftChars="0" w:firstLine="480" w:firstLineChars="200"/>
        <w:rPr>
          <w:sz w:val="24"/>
        </w:rPr>
      </w:pPr>
      <w:r>
        <w:rPr>
          <w:sz w:val="24"/>
        </w:rPr>
        <w:t>具有识读和绘制工程图的能力；</w:t>
      </w:r>
    </w:p>
    <w:p>
      <w:pPr>
        <w:numPr>
          <w:ilvl w:val="0"/>
          <w:numId w:val="4"/>
        </w:numPr>
        <w:spacing w:line="360" w:lineRule="auto"/>
        <w:ind w:left="0" w:leftChars="0" w:firstLine="480" w:firstLineChars="200"/>
        <w:rPr>
          <w:sz w:val="24"/>
        </w:rPr>
      </w:pPr>
      <w:r>
        <w:rPr>
          <w:sz w:val="24"/>
        </w:rPr>
        <w:t>具有工程勘测设计、施工放样等工程测量的能力；</w:t>
      </w:r>
    </w:p>
    <w:p>
      <w:pPr>
        <w:numPr>
          <w:ilvl w:val="0"/>
          <w:numId w:val="4"/>
        </w:numPr>
        <w:spacing w:line="360" w:lineRule="auto"/>
        <w:ind w:left="0" w:leftChars="0" w:firstLine="480" w:firstLineChars="200"/>
        <w:rPr>
          <w:sz w:val="24"/>
        </w:rPr>
      </w:pPr>
      <w:r>
        <w:rPr>
          <w:sz w:val="24"/>
        </w:rPr>
        <w:t>具有交通土建工程试验检测的能力；</w:t>
      </w:r>
    </w:p>
    <w:p>
      <w:pPr>
        <w:numPr>
          <w:ilvl w:val="0"/>
          <w:numId w:val="4"/>
        </w:numPr>
        <w:spacing w:line="360" w:lineRule="auto"/>
        <w:ind w:left="0" w:leftChars="0" w:firstLine="480" w:firstLineChars="200"/>
        <w:rPr>
          <w:sz w:val="24"/>
        </w:rPr>
      </w:pPr>
      <w:r>
        <w:rPr>
          <w:sz w:val="24"/>
        </w:rPr>
        <w:t>具有从事交通土建工程施工与现场管理的能力；</w:t>
      </w:r>
    </w:p>
    <w:p>
      <w:pPr>
        <w:numPr>
          <w:ilvl w:val="0"/>
          <w:numId w:val="4"/>
        </w:numPr>
        <w:spacing w:line="360" w:lineRule="auto"/>
        <w:ind w:left="0" w:leftChars="0" w:firstLine="480" w:firstLineChars="200"/>
        <w:rPr>
          <w:sz w:val="24"/>
        </w:rPr>
      </w:pPr>
      <w:r>
        <w:rPr>
          <w:sz w:val="24"/>
        </w:rPr>
        <w:t>具有工程计量、工程概算与预算等能力；</w:t>
      </w:r>
    </w:p>
    <w:p>
      <w:pPr>
        <w:numPr>
          <w:ilvl w:val="0"/>
          <w:numId w:val="4"/>
        </w:numPr>
        <w:spacing w:line="360" w:lineRule="auto"/>
        <w:ind w:left="0" w:leftChars="0" w:firstLine="480" w:firstLineChars="200"/>
        <w:rPr>
          <w:sz w:val="24"/>
        </w:rPr>
      </w:pPr>
      <w:r>
        <w:rPr>
          <w:sz w:val="24"/>
        </w:rPr>
        <w:t>具有较强自学和获取新技术、新工艺、新材料等新知识的能力，较强的可持续发展和创新创业能力</w:t>
      </w:r>
      <w:r>
        <w:rPr>
          <w:rFonts w:hint="eastAsia"/>
          <w:sz w:val="24"/>
        </w:rPr>
        <w:t>；</w:t>
      </w:r>
    </w:p>
    <w:p>
      <w:pPr>
        <w:numPr>
          <w:ilvl w:val="0"/>
          <w:numId w:val="4"/>
        </w:numPr>
        <w:spacing w:line="360" w:lineRule="auto"/>
        <w:ind w:left="0" w:leftChars="0" w:firstLine="480" w:firstLineChars="200"/>
        <w:rPr>
          <w:sz w:val="24"/>
        </w:rPr>
      </w:pPr>
      <w:r>
        <w:rPr>
          <w:rFonts w:hint="eastAsia"/>
          <w:sz w:val="24"/>
        </w:rPr>
        <w:t>具有利用</w:t>
      </w:r>
      <w:r>
        <w:rPr>
          <w:rFonts w:hint="eastAsia" w:ascii="Times New Roman" w:hAnsi="Times New Roman"/>
          <w:sz w:val="24"/>
        </w:rPr>
        <w:t>BIM</w:t>
      </w:r>
      <w:r>
        <w:rPr>
          <w:rFonts w:hint="eastAsia"/>
          <w:sz w:val="24"/>
        </w:rPr>
        <w:t>技术、智慧工地、智慧管控等交通信息化技术在交通土建工程中从事相关工作的能力。</w:t>
      </w:r>
    </w:p>
    <w:p>
      <w:pPr>
        <w:keepNext w:val="0"/>
        <w:keepLines w:val="0"/>
        <w:pageBreakBefore w:val="0"/>
        <w:widowControl w:val="0"/>
        <w:kinsoku/>
        <w:wordWrap/>
        <w:overflowPunct/>
        <w:topLinePunct w:val="0"/>
        <w:autoSpaceDE/>
        <w:autoSpaceDN/>
        <w:bidi w:val="0"/>
        <w:adjustRightInd/>
        <w:snapToGrid/>
        <w:spacing w:before="157" w:beforeLines="50" w:line="360" w:lineRule="auto"/>
        <w:contextualSpacing/>
        <w:textAlignment w:val="auto"/>
        <w:outlineLvl w:val="0"/>
        <w:rPr>
          <w:rFonts w:hint="eastAsia" w:eastAsia="宋体"/>
          <w:b/>
          <w:bCs/>
          <w:sz w:val="28"/>
          <w:lang w:val="en-US" w:eastAsia="zh-CN"/>
        </w:rPr>
      </w:pPr>
      <w:r>
        <w:rPr>
          <w:rFonts w:hint="eastAsia"/>
          <w:b/>
          <w:bCs/>
          <w:sz w:val="28"/>
          <w:lang w:val="en-US" w:eastAsia="zh-CN"/>
        </w:rPr>
        <w:t>六</w:t>
      </w:r>
      <w:r>
        <w:rPr>
          <w:b/>
          <w:bCs/>
          <w:sz w:val="28"/>
        </w:rPr>
        <w:t>、课程设置及</w:t>
      </w:r>
      <w:r>
        <w:rPr>
          <w:rFonts w:hint="eastAsia"/>
          <w:b/>
          <w:bCs/>
          <w:sz w:val="28"/>
          <w:lang w:val="en-US" w:eastAsia="zh-CN"/>
        </w:rPr>
        <w:t>要求</w:t>
      </w:r>
    </w:p>
    <w:p>
      <w:pPr>
        <w:spacing w:line="360" w:lineRule="auto"/>
        <w:ind w:firstLine="480" w:firstLineChars="200"/>
        <w:contextualSpacing/>
        <w:rPr>
          <w:sz w:val="24"/>
        </w:rPr>
      </w:pPr>
      <w:r>
        <w:rPr>
          <w:sz w:val="24"/>
        </w:rPr>
        <w:t>本专业课程主要包括公共基础课程和专业（技能）课程。</w:t>
      </w:r>
    </w:p>
    <w:p>
      <w:pPr>
        <w:numPr>
          <w:ilvl w:val="0"/>
          <w:numId w:val="0"/>
        </w:numPr>
        <w:spacing w:line="360" w:lineRule="auto"/>
        <w:ind w:left="482" w:leftChars="0"/>
        <w:contextualSpacing/>
        <w:outlineLvl w:val="2"/>
        <w:rPr>
          <w:rFonts w:hint="eastAsia" w:eastAsia="宋体"/>
          <w:b/>
          <w:sz w:val="28"/>
          <w:szCs w:val="28"/>
          <w:lang w:val="en-US" w:eastAsia="zh-CN"/>
        </w:rPr>
      </w:pPr>
      <w:r>
        <w:rPr>
          <w:rFonts w:hint="eastAsia"/>
          <w:b/>
          <w:sz w:val="28"/>
          <w:szCs w:val="28"/>
          <w:lang w:eastAsia="zh-CN"/>
        </w:rPr>
        <w:t>（</w:t>
      </w:r>
      <w:r>
        <w:rPr>
          <w:rFonts w:hint="eastAsia"/>
          <w:b/>
          <w:sz w:val="28"/>
          <w:szCs w:val="28"/>
          <w:lang w:val="en-US" w:eastAsia="zh-CN"/>
        </w:rPr>
        <w:t>一</w:t>
      </w:r>
      <w:r>
        <w:rPr>
          <w:rFonts w:hint="eastAsia"/>
          <w:b/>
          <w:sz w:val="28"/>
          <w:szCs w:val="28"/>
          <w:lang w:eastAsia="zh-CN"/>
        </w:rPr>
        <w:t>）</w:t>
      </w:r>
      <w:r>
        <w:rPr>
          <w:b/>
          <w:sz w:val="28"/>
          <w:szCs w:val="28"/>
        </w:rPr>
        <w:t>公共基础</w:t>
      </w:r>
      <w:r>
        <w:rPr>
          <w:rFonts w:hint="eastAsia"/>
          <w:b/>
          <w:sz w:val="28"/>
          <w:szCs w:val="28"/>
          <w:lang w:val="en-US" w:eastAsia="zh-CN"/>
        </w:rPr>
        <w:t>课程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
        <w:gridCol w:w="1110"/>
        <w:gridCol w:w="6396"/>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jc w:val="center"/>
              <w:textAlignment w:val="auto"/>
              <w:rPr>
                <w:b/>
                <w:color w:val="000000"/>
                <w:kern w:val="0"/>
                <w:sz w:val="22"/>
                <w:szCs w:val="22"/>
              </w:rPr>
            </w:pPr>
            <w:r>
              <w:rPr>
                <w:b/>
                <w:color w:val="000000"/>
                <w:kern w:val="0"/>
                <w:sz w:val="22"/>
                <w:szCs w:val="22"/>
              </w:rPr>
              <w:t>序号</w:t>
            </w:r>
          </w:p>
        </w:tc>
        <w:tc>
          <w:tcPr>
            <w:tcW w:w="1110" w:type="dxa"/>
            <w:shd w:val="clear" w:color="auto" w:fill="auto"/>
            <w:vAlign w:val="center"/>
          </w:tcPr>
          <w:p>
            <w:pPr>
              <w:pStyle w:val="15"/>
              <w:spacing w:line="360" w:lineRule="auto"/>
              <w:jc w:val="center"/>
              <w:rPr>
                <w:b/>
                <w:color w:val="000000"/>
                <w:kern w:val="0"/>
                <w:sz w:val="22"/>
                <w:szCs w:val="22"/>
              </w:rPr>
            </w:pPr>
            <w:r>
              <w:rPr>
                <w:b/>
                <w:color w:val="000000"/>
                <w:kern w:val="0"/>
                <w:sz w:val="22"/>
                <w:szCs w:val="22"/>
              </w:rPr>
              <w:t>课程名称</w:t>
            </w:r>
          </w:p>
        </w:tc>
        <w:tc>
          <w:tcPr>
            <w:tcW w:w="6396" w:type="dxa"/>
            <w:shd w:val="clear" w:color="auto" w:fill="auto"/>
            <w:vAlign w:val="center"/>
          </w:tcPr>
          <w:p>
            <w:pPr>
              <w:pStyle w:val="15"/>
              <w:spacing w:line="360" w:lineRule="auto"/>
              <w:jc w:val="center"/>
              <w:rPr>
                <w:b/>
                <w:color w:val="000000"/>
                <w:kern w:val="0"/>
                <w:sz w:val="22"/>
                <w:szCs w:val="22"/>
              </w:rPr>
            </w:pPr>
            <w:r>
              <w:rPr>
                <w:b/>
                <w:color w:val="000000"/>
                <w:kern w:val="0"/>
                <w:sz w:val="22"/>
                <w:szCs w:val="22"/>
              </w:rPr>
              <w:t>主要教学内容及要求</w:t>
            </w:r>
          </w:p>
        </w:tc>
        <w:tc>
          <w:tcPr>
            <w:tcW w:w="55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jc w:val="center"/>
              <w:textAlignment w:val="auto"/>
              <w:rPr>
                <w:b/>
                <w:color w:val="000000"/>
                <w:kern w:val="0"/>
                <w:sz w:val="22"/>
                <w:szCs w:val="22"/>
              </w:rPr>
            </w:pPr>
            <w:r>
              <w:rPr>
                <w:b/>
                <w:color w:val="000000"/>
                <w:kern w:val="0"/>
                <w:sz w:val="22"/>
                <w:szCs w:val="22"/>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eastAsia="楷体_GB2312"/>
                <w:color w:val="000000"/>
                <w:kern w:val="0"/>
                <w:szCs w:val="21"/>
              </w:rPr>
            </w:pPr>
            <w:r>
              <w:rPr>
                <w:rFonts w:ascii="Times New Roman" w:hAnsi="Times New Roman"/>
                <w:szCs w:val="21"/>
              </w:rPr>
              <w:t>1</w:t>
            </w:r>
          </w:p>
        </w:tc>
        <w:tc>
          <w:tcPr>
            <w:tcW w:w="1110" w:type="dxa"/>
            <w:shd w:val="clear" w:color="auto" w:fill="auto"/>
            <w:vAlign w:val="center"/>
          </w:tcPr>
          <w:p>
            <w:pPr>
              <w:pStyle w:val="15"/>
              <w:rPr>
                <w:rFonts w:eastAsia="楷体_GB2312"/>
                <w:color w:val="000000"/>
                <w:kern w:val="0"/>
                <w:szCs w:val="21"/>
              </w:rPr>
            </w:pPr>
            <w:r>
              <w:rPr>
                <w:rFonts w:hint="eastAsia"/>
                <w:szCs w:val="21"/>
              </w:rPr>
              <w:t>思想道德与法治</w:t>
            </w:r>
          </w:p>
        </w:tc>
        <w:tc>
          <w:tcPr>
            <w:tcW w:w="6396" w:type="dxa"/>
            <w:shd w:val="clear" w:color="auto" w:fill="auto"/>
            <w:vAlign w:val="center"/>
          </w:tcPr>
          <w:p>
            <w:pPr>
              <w:pStyle w:val="15"/>
              <w:ind w:firstLine="422" w:firstLineChars="200"/>
              <w:jc w:val="left"/>
              <w:rPr>
                <w:rFonts w:hint="eastAsia"/>
                <w:b w:val="0"/>
                <w:bCs w:val="0"/>
              </w:rPr>
            </w:pPr>
            <w:r>
              <w:rPr>
                <w:rFonts w:hint="eastAsia"/>
                <w:b/>
                <w:bCs/>
              </w:rPr>
              <w:t>教学内容：</w:t>
            </w:r>
            <w:r>
              <w:rPr>
                <w:rFonts w:hint="eastAsia"/>
                <w:b w:val="0"/>
                <w:bCs w:val="0"/>
              </w:rPr>
              <w:t>包括追求远大理想、坚定崇高信念，继承优良传统、弘扬中国精神，培育和践行社会主义核心价值观、学习法治思想、养成法治思维等内容。</w:t>
            </w:r>
          </w:p>
          <w:p>
            <w:pPr>
              <w:pStyle w:val="15"/>
              <w:ind w:firstLine="422" w:firstLineChars="200"/>
              <w:jc w:val="left"/>
              <w:rPr>
                <w:rFonts w:hint="eastAsia"/>
                <w:b w:val="0"/>
                <w:bCs w:val="0"/>
              </w:rPr>
            </w:pPr>
            <w:r>
              <w:rPr>
                <w:rFonts w:hint="eastAsia"/>
                <w:b/>
                <w:bCs/>
                <w:lang w:val="en-US" w:eastAsia="zh-CN"/>
              </w:rPr>
              <w:t>教学要求</w:t>
            </w:r>
            <w:r>
              <w:rPr>
                <w:rFonts w:hint="eastAsia"/>
                <w:b/>
                <w:bCs/>
              </w:rPr>
              <w:t>：</w:t>
            </w:r>
            <w:r>
              <w:rPr>
                <w:rFonts w:hint="eastAsia"/>
                <w:b w:val="0"/>
                <w:bCs w:val="0"/>
              </w:rPr>
              <w:t>培养学生形成正确的人生观、价值观、道德观和法制观，使学生具有运用马克思主义的立场、观点和方法，分析和解决实际问题的能力。提高学生思想道德和法治素养，成长为能够担当民族复兴大任的时代新人。</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48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eastAsia="楷体_GB2312"/>
                <w:color w:val="000000"/>
                <w:kern w:val="0"/>
                <w:szCs w:val="21"/>
              </w:rPr>
            </w:pPr>
            <w:r>
              <w:rPr>
                <w:rFonts w:ascii="Times New Roman" w:hAnsi="Times New Roman"/>
                <w:szCs w:val="21"/>
              </w:rPr>
              <w:t>2</w:t>
            </w:r>
          </w:p>
        </w:tc>
        <w:tc>
          <w:tcPr>
            <w:tcW w:w="1110" w:type="dxa"/>
            <w:shd w:val="clear" w:color="auto" w:fill="auto"/>
            <w:vAlign w:val="center"/>
          </w:tcPr>
          <w:p>
            <w:pPr>
              <w:pStyle w:val="15"/>
              <w:rPr>
                <w:rFonts w:eastAsia="楷体_GB2312"/>
                <w:color w:val="000000"/>
                <w:kern w:val="0"/>
                <w:szCs w:val="21"/>
              </w:rPr>
            </w:pPr>
            <w:r>
              <w:rPr>
                <w:szCs w:val="21"/>
              </w:rPr>
              <w:t>中国近代史纲要</w:t>
            </w:r>
          </w:p>
        </w:tc>
        <w:tc>
          <w:tcPr>
            <w:tcW w:w="6396" w:type="dxa"/>
            <w:shd w:val="clear" w:color="auto" w:fill="auto"/>
            <w:vAlign w:val="center"/>
          </w:tcPr>
          <w:p>
            <w:pPr>
              <w:pStyle w:val="15"/>
              <w:ind w:firstLine="422" w:firstLineChars="200"/>
              <w:jc w:val="left"/>
              <w:rPr>
                <w:color w:val="000000"/>
                <w:szCs w:val="21"/>
                <w:shd w:val="clear" w:color="auto" w:fill="FFFFFF"/>
              </w:rPr>
            </w:pPr>
            <w:r>
              <w:rPr>
                <w:b/>
                <w:bCs/>
                <w:color w:val="000000"/>
                <w:kern w:val="0"/>
                <w:szCs w:val="21"/>
              </w:rPr>
              <w:t>教学内容</w:t>
            </w:r>
            <w:r>
              <w:rPr>
                <w:color w:val="000000"/>
                <w:kern w:val="0"/>
                <w:szCs w:val="21"/>
              </w:rPr>
              <w:t>：本课</w:t>
            </w:r>
            <w:r>
              <w:rPr>
                <w:szCs w:val="21"/>
              </w:rPr>
              <w:t>程</w:t>
            </w:r>
            <w:r>
              <w:rPr>
                <w:color w:val="333333"/>
                <w:szCs w:val="21"/>
                <w:shd w:val="clear" w:color="auto" w:fill="FFFFFF"/>
              </w:rPr>
              <w:t>按照时间顺序共分为从鸦片战争到五四运动前夜、从五四运动到新中国成立、从新中国成立到社会主义现代化建设新时期三篇，具体内容包括:反对外国侵略的斗争、对国家出路的早期探索、中华民族的抗日战争等。</w:t>
            </w:r>
          </w:p>
          <w:p>
            <w:pPr>
              <w:pStyle w:val="15"/>
              <w:ind w:firstLine="422" w:firstLineChars="200"/>
              <w:rPr>
                <w:color w:val="000000"/>
                <w:kern w:val="0"/>
                <w:szCs w:val="21"/>
              </w:rPr>
            </w:pPr>
            <w:r>
              <w:rPr>
                <w:b/>
                <w:bCs/>
                <w:color w:val="000000"/>
                <w:szCs w:val="21"/>
              </w:rPr>
              <w:t>教学要求</w:t>
            </w:r>
            <w:r>
              <w:rPr>
                <w:color w:val="000000"/>
                <w:szCs w:val="21"/>
              </w:rPr>
              <w:t>：通过本课程学习，</w:t>
            </w:r>
            <w:r>
              <w:rPr>
                <w:color w:val="000000"/>
                <w:szCs w:val="21"/>
                <w:shd w:val="clear" w:color="auto" w:fill="FFFFFF"/>
              </w:rPr>
              <w:t>帮助学生了解国史﹑国情,深刻领会历史和人民怎样选择了马克思主义、怎样选择了中国共产党、怎样选择了社会主义道路、怎样选择了改革开放，增强中国特色社会主义的道路自信、理论自信、制度自信和文化自信，进一步树立“只有社会主义才能救中国，只有社会主义才能发展中国”的明确观念，坚定走中国特色社会主义道路的信心。</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48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eastAsia="楷体_GB2312"/>
                <w:color w:val="000000"/>
                <w:kern w:val="0"/>
                <w:szCs w:val="21"/>
              </w:rPr>
            </w:pPr>
            <w:r>
              <w:rPr>
                <w:rFonts w:ascii="Times New Roman" w:hAnsi="Times New Roman"/>
                <w:szCs w:val="21"/>
              </w:rPr>
              <w:t>3</w:t>
            </w:r>
          </w:p>
        </w:tc>
        <w:tc>
          <w:tcPr>
            <w:tcW w:w="1110" w:type="dxa"/>
            <w:shd w:val="clear" w:color="auto" w:fill="auto"/>
            <w:vAlign w:val="center"/>
          </w:tcPr>
          <w:p>
            <w:pPr>
              <w:pStyle w:val="15"/>
              <w:rPr>
                <w:rFonts w:eastAsia="楷体_GB2312"/>
                <w:color w:val="000000"/>
                <w:kern w:val="0"/>
                <w:szCs w:val="21"/>
              </w:rPr>
            </w:pPr>
            <w:r>
              <w:rPr>
                <w:szCs w:val="21"/>
              </w:rPr>
              <w:t>马克思主义基本原理</w:t>
            </w:r>
          </w:p>
        </w:tc>
        <w:tc>
          <w:tcPr>
            <w:tcW w:w="6396" w:type="dxa"/>
            <w:shd w:val="clear" w:color="auto" w:fill="auto"/>
            <w:vAlign w:val="center"/>
          </w:tcPr>
          <w:p>
            <w:pPr>
              <w:pStyle w:val="15"/>
              <w:ind w:firstLine="422" w:firstLineChars="200"/>
              <w:jc w:val="left"/>
              <w:rPr>
                <w:color w:val="000000"/>
                <w:szCs w:val="21"/>
                <w:shd w:val="clear" w:color="auto" w:fill="FFFFFF"/>
              </w:rPr>
            </w:pPr>
            <w:r>
              <w:rPr>
                <w:b/>
                <w:bCs/>
                <w:color w:val="000000"/>
                <w:kern w:val="0"/>
                <w:szCs w:val="21"/>
              </w:rPr>
              <w:t>教学内容</w:t>
            </w:r>
            <w:r>
              <w:rPr>
                <w:color w:val="000000"/>
                <w:kern w:val="0"/>
                <w:szCs w:val="21"/>
              </w:rPr>
              <w:t>：本课</w:t>
            </w:r>
            <w:r>
              <w:rPr>
                <w:szCs w:val="21"/>
              </w:rPr>
              <w:t>程概述</w:t>
            </w:r>
            <w:r>
              <w:rPr>
                <w:color w:val="000000"/>
                <w:szCs w:val="21"/>
                <w:shd w:val="clear" w:color="auto" w:fill="FFFFFF"/>
              </w:rPr>
              <w:t>了马克思主义哲学、马克思主义政治经济学、科学社会主义的基本内容。</w:t>
            </w:r>
          </w:p>
          <w:p>
            <w:pPr>
              <w:pStyle w:val="15"/>
              <w:ind w:firstLine="422" w:firstLineChars="200"/>
              <w:rPr>
                <w:color w:val="000000"/>
                <w:kern w:val="0"/>
                <w:szCs w:val="21"/>
              </w:rPr>
            </w:pPr>
            <w:r>
              <w:rPr>
                <w:b/>
                <w:bCs/>
                <w:color w:val="000000"/>
                <w:szCs w:val="21"/>
              </w:rPr>
              <w:t>教学要求</w:t>
            </w:r>
            <w:r>
              <w:rPr>
                <w:color w:val="000000"/>
                <w:szCs w:val="21"/>
              </w:rPr>
              <w:t>：通过本课程学习，</w:t>
            </w:r>
            <w:r>
              <w:rPr>
                <w:color w:val="000000"/>
                <w:szCs w:val="21"/>
                <w:shd w:val="clear" w:color="auto" w:fill="FFFFFF"/>
              </w:rPr>
              <w:t>帮助学生在树立马克思主义科学的世界观、人生观、价值观的同时，不断提高理论思维水平，学会用马克思主义的立场、观点、方法分析和解决实际生活中的各种问题，特别是能应用马克思主义基本原理分析和解决现实问题。</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48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eastAsia="楷体_GB2312"/>
                <w:color w:val="000000"/>
                <w:kern w:val="0"/>
                <w:szCs w:val="21"/>
              </w:rPr>
            </w:pPr>
            <w:r>
              <w:rPr>
                <w:rFonts w:ascii="Times New Roman" w:hAnsi="Times New Roman"/>
                <w:szCs w:val="21"/>
              </w:rPr>
              <w:t>4</w:t>
            </w:r>
          </w:p>
        </w:tc>
        <w:tc>
          <w:tcPr>
            <w:tcW w:w="1110" w:type="dxa"/>
            <w:shd w:val="clear" w:color="auto" w:fill="auto"/>
            <w:vAlign w:val="center"/>
          </w:tcPr>
          <w:p>
            <w:pPr>
              <w:pStyle w:val="15"/>
              <w:rPr>
                <w:rFonts w:eastAsia="楷体_GB2312"/>
                <w:color w:val="000000"/>
                <w:kern w:val="0"/>
                <w:szCs w:val="21"/>
              </w:rPr>
            </w:pPr>
            <w:r>
              <w:rPr>
                <w:szCs w:val="21"/>
              </w:rPr>
              <w:t>毛泽东思想和中国特色社会主义理论体系概论</w:t>
            </w:r>
          </w:p>
        </w:tc>
        <w:tc>
          <w:tcPr>
            <w:tcW w:w="6396" w:type="dxa"/>
            <w:shd w:val="clear" w:color="auto" w:fill="auto"/>
            <w:vAlign w:val="center"/>
          </w:tcPr>
          <w:p>
            <w:pPr>
              <w:ind w:firstLine="422" w:firstLineChars="200"/>
              <w:rPr>
                <w:color w:val="000000"/>
                <w:kern w:val="0"/>
                <w:szCs w:val="21"/>
              </w:rPr>
            </w:pPr>
            <w:r>
              <w:rPr>
                <w:rFonts w:hint="eastAsia"/>
                <w:b/>
                <w:bCs/>
                <w:color w:val="000000"/>
                <w:kern w:val="0"/>
                <w:szCs w:val="21"/>
                <w:lang w:val="en-US" w:eastAsia="zh-CN"/>
              </w:rPr>
              <w:t>教学</w:t>
            </w:r>
            <w:r>
              <w:rPr>
                <w:rFonts w:hint="eastAsia"/>
                <w:b/>
                <w:bCs/>
                <w:color w:val="000000"/>
                <w:kern w:val="0"/>
                <w:szCs w:val="21"/>
              </w:rPr>
              <w:t>内容：</w:t>
            </w:r>
            <w:r>
              <w:rPr>
                <w:rFonts w:hint="eastAsia"/>
                <w:color w:val="000000"/>
                <w:kern w:val="0"/>
                <w:szCs w:val="21"/>
              </w:rPr>
              <w:t>本课程在大学第四学期开设，总学时为</w:t>
            </w:r>
            <w:r>
              <w:rPr>
                <w:rFonts w:ascii="Times New Roman" w:hAnsi="Times New Roman"/>
                <w:color w:val="000000"/>
                <w:kern w:val="0"/>
                <w:szCs w:val="21"/>
              </w:rPr>
              <w:t>48</w:t>
            </w: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学分。包括毛泽东思想、中国特色社会主义理论体系等内容。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pPr>
              <w:ind w:firstLine="422" w:firstLineChars="200"/>
              <w:rPr>
                <w:color w:val="000000"/>
                <w:kern w:val="0"/>
                <w:szCs w:val="21"/>
              </w:rPr>
            </w:pPr>
            <w:r>
              <w:rPr>
                <w:rFonts w:hint="eastAsia"/>
                <w:b/>
                <w:bCs/>
                <w:color w:val="000000"/>
                <w:kern w:val="0"/>
                <w:szCs w:val="21"/>
              </w:rPr>
              <w:t>教学要求：</w:t>
            </w:r>
            <w:r>
              <w:rPr>
                <w:rFonts w:hint="eastAsia"/>
                <w:color w:val="000000"/>
                <w:kern w:val="0"/>
                <w:szCs w:val="21"/>
              </w:rPr>
              <w:t>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作出应有的贡献。</w:t>
            </w:r>
          </w:p>
        </w:tc>
        <w:tc>
          <w:tcPr>
            <w:tcW w:w="550" w:type="dxa"/>
            <w:shd w:val="clear" w:color="auto" w:fill="auto"/>
            <w:vAlign w:val="center"/>
          </w:tcPr>
          <w:p>
            <w:pPr>
              <w:pStyle w:val="15"/>
              <w:jc w:val="center"/>
              <w:rPr>
                <w:rFonts w:hint="default" w:eastAsia="楷体_GB2312"/>
                <w:color w:val="000000"/>
                <w:kern w:val="0"/>
                <w:szCs w:val="21"/>
                <w:lang w:val="en-US" w:eastAsia="zh-CN"/>
              </w:rPr>
            </w:pPr>
            <w:r>
              <w:rPr>
                <w:rFonts w:hint="eastAsia" w:ascii="Times New Roman" w:hAnsi="Times New Roman" w:eastAsia="楷体_GB2312"/>
                <w:color w:val="000000"/>
                <w:kern w:val="0"/>
                <w:szCs w:val="21"/>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hint="eastAsia" w:eastAsia="宋体"/>
                <w:szCs w:val="21"/>
                <w:lang w:val="en-US" w:eastAsia="zh-CN"/>
              </w:rPr>
            </w:pPr>
            <w:r>
              <w:rPr>
                <w:rFonts w:hint="eastAsia" w:ascii="Times New Roman" w:hAnsi="Times New Roman"/>
                <w:szCs w:val="21"/>
                <w:lang w:val="en-US" w:eastAsia="zh-CN"/>
              </w:rPr>
              <w:t>5</w:t>
            </w:r>
          </w:p>
        </w:tc>
        <w:tc>
          <w:tcPr>
            <w:tcW w:w="1110" w:type="dxa"/>
            <w:shd w:val="clear" w:color="auto" w:fill="auto"/>
            <w:vAlign w:val="center"/>
          </w:tcPr>
          <w:p>
            <w:pPr>
              <w:pStyle w:val="15"/>
              <w:rPr>
                <w:rFonts w:hint="default" w:eastAsia="宋体"/>
                <w:szCs w:val="21"/>
                <w:lang w:val="en-US" w:eastAsia="zh-CN"/>
              </w:rPr>
            </w:pPr>
            <w:r>
              <w:rPr>
                <w:rFonts w:hint="eastAsia"/>
                <w:szCs w:val="21"/>
                <w:lang w:val="en-US" w:eastAsia="zh-CN"/>
              </w:rPr>
              <w:t>习近平新时代中国特色社会主义思想概论</w:t>
            </w:r>
          </w:p>
        </w:tc>
        <w:tc>
          <w:tcPr>
            <w:tcW w:w="639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sz w:val="21"/>
                <w:szCs w:val="21"/>
              </w:rPr>
            </w:pPr>
            <w:r>
              <w:rPr>
                <w:rFonts w:hint="eastAsia"/>
                <w:b/>
                <w:bCs/>
                <w:sz w:val="21"/>
                <w:szCs w:val="21"/>
              </w:rPr>
              <w:t>主要内容：</w:t>
            </w:r>
            <w:r>
              <w:rPr>
                <w:rFonts w:hint="eastAsia"/>
                <w:sz w:val="21"/>
                <w:szCs w:val="21"/>
              </w:rPr>
              <w:t>本课程在大学第五学期开设，总学时为</w:t>
            </w:r>
            <w:r>
              <w:rPr>
                <w:rFonts w:ascii="Times New Roman" w:hAnsi="Times New Roman"/>
                <w:sz w:val="21"/>
                <w:szCs w:val="21"/>
              </w:rPr>
              <w:t>48</w:t>
            </w:r>
            <w:r>
              <w:rPr>
                <w:rFonts w:hint="eastAsia"/>
                <w:sz w:val="21"/>
                <w:szCs w:val="21"/>
              </w:rPr>
              <w:t>，</w:t>
            </w:r>
            <w:r>
              <w:rPr>
                <w:rFonts w:ascii="Times New Roman" w:hAnsi="Times New Roman"/>
                <w:sz w:val="21"/>
                <w:szCs w:val="21"/>
              </w:rPr>
              <w:t>3</w:t>
            </w:r>
            <w:r>
              <w:rPr>
                <w:rFonts w:hint="eastAsia"/>
                <w:sz w:val="21"/>
                <w:szCs w:val="21"/>
              </w:rPr>
              <w:t>学分。课程系统阐述关于新时代坚持和发展中国特色社会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作出的理论概括和战略指引。</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b/>
                <w:bCs/>
                <w:color w:val="000000"/>
                <w:kern w:val="0"/>
                <w:szCs w:val="21"/>
              </w:rPr>
            </w:pPr>
            <w:r>
              <w:rPr>
                <w:rFonts w:hint="eastAsia"/>
                <w:b/>
                <w:bCs/>
                <w:sz w:val="21"/>
                <w:szCs w:val="21"/>
              </w:rPr>
              <w:t>教学要求：</w:t>
            </w:r>
            <w:r>
              <w:rPr>
                <w:rFonts w:hint="eastAsia"/>
                <w:sz w:val="21"/>
                <w:szCs w:val="21"/>
              </w:rPr>
              <w:t>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550" w:type="dxa"/>
            <w:shd w:val="clear" w:color="auto" w:fill="auto"/>
            <w:vAlign w:val="center"/>
          </w:tcPr>
          <w:p>
            <w:pPr>
              <w:pStyle w:val="15"/>
              <w:jc w:val="center"/>
              <w:rPr>
                <w:rFonts w:hint="default" w:eastAsia="楷体_GB2312"/>
                <w:color w:val="000000"/>
                <w:kern w:val="0"/>
                <w:szCs w:val="21"/>
                <w:lang w:val="en-US" w:eastAsia="zh-CN"/>
              </w:rPr>
            </w:pPr>
            <w:r>
              <w:rPr>
                <w:rFonts w:hint="eastAsia" w:ascii="Times New Roman" w:hAnsi="Times New Roman" w:eastAsia="楷体_GB2312"/>
                <w:color w:val="000000"/>
                <w:kern w:val="0"/>
                <w:szCs w:val="21"/>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6</w:t>
            </w:r>
          </w:p>
        </w:tc>
        <w:tc>
          <w:tcPr>
            <w:tcW w:w="1110" w:type="dxa"/>
            <w:shd w:val="clear" w:color="auto" w:fill="auto"/>
            <w:vAlign w:val="center"/>
          </w:tcPr>
          <w:p>
            <w:pPr>
              <w:pStyle w:val="15"/>
              <w:rPr>
                <w:rFonts w:eastAsia="楷体_GB2312"/>
                <w:color w:val="000000"/>
                <w:kern w:val="0"/>
                <w:szCs w:val="21"/>
              </w:rPr>
            </w:pPr>
            <w:r>
              <w:rPr>
                <w:szCs w:val="21"/>
              </w:rPr>
              <w:t>军事理论</w:t>
            </w:r>
          </w:p>
        </w:tc>
        <w:tc>
          <w:tcPr>
            <w:tcW w:w="6396" w:type="dxa"/>
            <w:shd w:val="clear" w:color="auto" w:fill="auto"/>
            <w:vAlign w:val="center"/>
          </w:tcPr>
          <w:p>
            <w:pPr>
              <w:ind w:firstLine="422" w:firstLineChars="200"/>
              <w:rPr>
                <w:color w:val="000000"/>
                <w:kern w:val="0"/>
                <w:szCs w:val="21"/>
              </w:rPr>
            </w:pPr>
            <w:r>
              <w:rPr>
                <w:b/>
                <w:color w:val="000000"/>
                <w:kern w:val="0"/>
                <w:szCs w:val="21"/>
              </w:rPr>
              <w:t>教学内容：</w:t>
            </w:r>
            <w:r>
              <w:rPr>
                <w:rFonts w:hint="eastAsia"/>
                <w:color w:val="000000"/>
                <w:kern w:val="0"/>
                <w:szCs w:val="21"/>
              </w:rPr>
              <w:t>本课程在第</w:t>
            </w:r>
            <w:r>
              <w:rPr>
                <w:rFonts w:hint="eastAsia" w:ascii="Times New Roman" w:hAnsi="Times New Roman"/>
                <w:color w:val="000000"/>
                <w:kern w:val="0"/>
                <w:szCs w:val="21"/>
              </w:rPr>
              <w:t>1</w:t>
            </w:r>
            <w:r>
              <w:rPr>
                <w:rFonts w:hint="eastAsia"/>
                <w:color w:val="000000"/>
                <w:kern w:val="0"/>
                <w:szCs w:val="21"/>
              </w:rPr>
              <w:t>或第</w:t>
            </w:r>
            <w:r>
              <w:rPr>
                <w:rFonts w:hint="eastAsia" w:ascii="Times New Roman" w:hAnsi="Times New Roman"/>
                <w:color w:val="000000"/>
                <w:kern w:val="0"/>
                <w:szCs w:val="21"/>
              </w:rPr>
              <w:t>2</w:t>
            </w:r>
            <w:r>
              <w:rPr>
                <w:rFonts w:hint="eastAsia"/>
                <w:color w:val="000000"/>
                <w:kern w:val="0"/>
                <w:szCs w:val="21"/>
              </w:rPr>
              <w:t>学期开设，共</w:t>
            </w:r>
            <w:r>
              <w:rPr>
                <w:rFonts w:hint="eastAsia" w:ascii="Times New Roman" w:hAnsi="Times New Roman"/>
                <w:color w:val="000000"/>
                <w:kern w:val="0"/>
                <w:szCs w:val="21"/>
              </w:rPr>
              <w:t>36</w:t>
            </w:r>
            <w:r>
              <w:rPr>
                <w:rFonts w:hint="eastAsia"/>
                <w:color w:val="000000"/>
                <w:kern w:val="0"/>
                <w:szCs w:val="21"/>
              </w:rPr>
              <w:t>学时，</w:t>
            </w:r>
            <w:r>
              <w:rPr>
                <w:rFonts w:hint="eastAsia" w:ascii="Times New Roman" w:hAnsi="Times New Roman"/>
                <w:color w:val="000000"/>
                <w:kern w:val="0"/>
                <w:szCs w:val="21"/>
              </w:rPr>
              <w:t>2</w:t>
            </w:r>
            <w:r>
              <w:rPr>
                <w:rFonts w:hint="eastAsia"/>
                <w:color w:val="000000"/>
                <w:kern w:val="0"/>
                <w:szCs w:val="21"/>
              </w:rPr>
              <w:t>学分。包括国防概述、国家安全概述、军事思想概述、战争概述、信息化装备概述等内容。</w:t>
            </w:r>
            <w:r>
              <w:rPr>
                <w:color w:val="000000"/>
                <w:kern w:val="0"/>
                <w:szCs w:val="21"/>
              </w:rPr>
              <w:t>。</w:t>
            </w:r>
          </w:p>
          <w:p>
            <w:pPr>
              <w:pStyle w:val="15"/>
              <w:ind w:firstLine="422" w:firstLineChars="200"/>
              <w:rPr>
                <w:color w:val="000000"/>
                <w:kern w:val="0"/>
                <w:szCs w:val="21"/>
              </w:rPr>
            </w:pPr>
            <w:r>
              <w:rPr>
                <w:b/>
                <w:color w:val="000000"/>
                <w:kern w:val="0"/>
                <w:szCs w:val="21"/>
              </w:rPr>
              <w:t>教学要求：</w:t>
            </w:r>
            <w:r>
              <w:rPr>
                <w:color w:val="000000"/>
                <w:kern w:val="0"/>
                <w:szCs w:val="21"/>
              </w:rPr>
              <w:t>通过本课程学习，</w:t>
            </w:r>
            <w:r>
              <w:rPr>
                <w:rFonts w:hint="eastAsia"/>
                <w:color w:val="000000"/>
                <w:kern w:val="0"/>
                <w:szCs w:val="21"/>
              </w:rPr>
              <w:t>使学生理解习近平强军思想的科学含义和主要内容，采用线上结合线下授课方式，使学生了解我国国防体制、基本军事思想、武器装备等，树立正确的国防观、总体国家安全观。了解掌握军事基础知识，增强国防观念、国家安全意识和忧患危机意识，弘扬爱国主义精神、传承红色基因、提高学生综合国防素质。</w:t>
            </w:r>
            <w:r>
              <w:rPr>
                <w:color w:val="000000"/>
                <w:kern w:val="0"/>
                <w:szCs w:val="21"/>
              </w:rPr>
              <w:t>。</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36</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7</w:t>
            </w:r>
          </w:p>
        </w:tc>
        <w:tc>
          <w:tcPr>
            <w:tcW w:w="1110" w:type="dxa"/>
            <w:shd w:val="clear" w:color="auto" w:fill="auto"/>
            <w:vAlign w:val="center"/>
          </w:tcPr>
          <w:p>
            <w:pPr>
              <w:pStyle w:val="15"/>
              <w:rPr>
                <w:rFonts w:eastAsia="楷体_GB2312"/>
                <w:color w:val="000000"/>
                <w:kern w:val="0"/>
                <w:szCs w:val="21"/>
              </w:rPr>
            </w:pPr>
            <w:r>
              <w:rPr>
                <w:szCs w:val="21"/>
              </w:rPr>
              <w:t>大学生心理健康</w:t>
            </w:r>
          </w:p>
        </w:tc>
        <w:tc>
          <w:tcPr>
            <w:tcW w:w="6396" w:type="dxa"/>
            <w:shd w:val="clear" w:color="auto" w:fill="auto"/>
            <w:vAlign w:val="center"/>
          </w:tcPr>
          <w:p>
            <w:pPr>
              <w:ind w:firstLine="422" w:firstLineChars="200"/>
              <w:rPr>
                <w:color w:val="000000"/>
                <w:kern w:val="0"/>
                <w:szCs w:val="21"/>
              </w:rPr>
            </w:pPr>
            <w:r>
              <w:rPr>
                <w:b/>
                <w:color w:val="000000"/>
                <w:kern w:val="0"/>
                <w:szCs w:val="21"/>
              </w:rPr>
              <w:t>教学内容：</w:t>
            </w:r>
            <w:r>
              <w:rPr>
                <w:rFonts w:hint="eastAsia"/>
                <w:b w:val="0"/>
                <w:bCs/>
                <w:color w:val="000000"/>
                <w:kern w:val="0"/>
                <w:szCs w:val="21"/>
                <w:lang w:val="en-US" w:eastAsia="zh-CN"/>
              </w:rPr>
              <w:t>本课程</w:t>
            </w:r>
            <w:r>
              <w:rPr>
                <w:rFonts w:hint="eastAsia"/>
                <w:b w:val="0"/>
                <w:bCs/>
                <w:color w:val="000000"/>
                <w:kern w:val="0"/>
                <w:szCs w:val="21"/>
              </w:rPr>
              <w:t>主要讲授心理健康的概念、适应与生涯发展、自我意识与自我概念、学习心理</w:t>
            </w:r>
            <w:r>
              <w:rPr>
                <w:rFonts w:hint="eastAsia"/>
                <w:color w:val="000000"/>
                <w:kern w:val="0"/>
                <w:szCs w:val="21"/>
              </w:rPr>
              <w:t>、人际交往、情绪心理调控、塑造健全人格等内容</w:t>
            </w:r>
            <w:r>
              <w:rPr>
                <w:color w:val="000000"/>
                <w:kern w:val="0"/>
                <w:szCs w:val="21"/>
              </w:rPr>
              <w:t>。</w:t>
            </w:r>
          </w:p>
          <w:p>
            <w:pPr>
              <w:pStyle w:val="15"/>
              <w:ind w:firstLine="422" w:firstLineChars="200"/>
              <w:rPr>
                <w:color w:val="000000"/>
                <w:kern w:val="0"/>
                <w:szCs w:val="21"/>
              </w:rPr>
            </w:pPr>
            <w:r>
              <w:rPr>
                <w:b/>
                <w:color w:val="000000"/>
                <w:kern w:val="0"/>
                <w:szCs w:val="21"/>
              </w:rPr>
              <w:t>教学要求：</w:t>
            </w:r>
            <w:r>
              <w:rPr>
                <w:color w:val="000000"/>
                <w:kern w:val="0"/>
                <w:szCs w:val="21"/>
              </w:rPr>
              <w:t>通过本课程学习，使</w:t>
            </w:r>
            <w:r>
              <w:rPr>
                <w:rFonts w:hint="eastAsia"/>
                <w:color w:val="000000"/>
                <w:kern w:val="0"/>
                <w:szCs w:val="21"/>
              </w:rPr>
              <w:t>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r>
              <w:rPr>
                <w:color w:val="000000"/>
                <w:kern w:val="0"/>
                <w:szCs w:val="21"/>
              </w:rPr>
              <w:t xml:space="preserve">。  </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32</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8</w:t>
            </w:r>
          </w:p>
        </w:tc>
        <w:tc>
          <w:tcPr>
            <w:tcW w:w="1110" w:type="dxa"/>
            <w:shd w:val="clear" w:color="auto" w:fill="auto"/>
            <w:vAlign w:val="center"/>
          </w:tcPr>
          <w:p>
            <w:pPr>
              <w:pStyle w:val="15"/>
              <w:rPr>
                <w:rFonts w:eastAsia="楷体_GB2312"/>
                <w:color w:val="000000"/>
                <w:kern w:val="0"/>
                <w:szCs w:val="21"/>
              </w:rPr>
            </w:pPr>
            <w:r>
              <w:rPr>
                <w:szCs w:val="21"/>
              </w:rPr>
              <w:t>体育</w:t>
            </w:r>
          </w:p>
        </w:tc>
        <w:tc>
          <w:tcPr>
            <w:tcW w:w="6396" w:type="dxa"/>
            <w:shd w:val="clear" w:color="auto" w:fill="auto"/>
            <w:vAlign w:val="center"/>
          </w:tcPr>
          <w:p>
            <w:pPr>
              <w:ind w:firstLine="422" w:firstLineChars="200"/>
              <w:jc w:val="left"/>
              <w:rPr>
                <w:b/>
              </w:rPr>
            </w:pPr>
            <w:r>
              <w:rPr>
                <w:rFonts w:hint="eastAsia"/>
                <w:b/>
              </w:rPr>
              <w:t xml:space="preserve">教学内容： </w:t>
            </w:r>
            <w:r>
              <w:rPr>
                <w:rFonts w:hint="eastAsia"/>
              </w:rPr>
              <w:t>主要讲授主要讲授体育运动基本理论知识、身体素质练习、体育专项技术等。</w:t>
            </w:r>
          </w:p>
          <w:p>
            <w:pPr>
              <w:ind w:firstLine="422" w:firstLineChars="200"/>
              <w:jc w:val="left"/>
              <w:rPr>
                <w:b/>
              </w:rPr>
            </w:pPr>
            <w:r>
              <w:rPr>
                <w:rFonts w:hint="eastAsia"/>
                <w:b/>
              </w:rPr>
              <w:t>教学要求：</w:t>
            </w:r>
            <w:r>
              <w:rPr>
                <w:rFonts w:hint="eastAsia"/>
              </w:rPr>
              <w:t>通过本课程学习使学生熟练掌握体育锻炼的基本方法和技能，提高运动能力；养成良好的行为习惯，形成健康的生活方式</w:t>
            </w:r>
            <w:r>
              <w:rPr>
                <w:rFonts w:hint="eastAsia"/>
                <w:lang w:val="en-US" w:eastAsia="zh-CN"/>
              </w:rPr>
              <w:t>和终身体育的意识</w:t>
            </w:r>
            <w:r>
              <w:rPr>
                <w:rFonts w:hint="eastAsia"/>
              </w:rPr>
              <w:t>。</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108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9</w:t>
            </w:r>
          </w:p>
        </w:tc>
        <w:tc>
          <w:tcPr>
            <w:tcW w:w="1110" w:type="dxa"/>
            <w:shd w:val="clear" w:color="auto" w:fill="auto"/>
            <w:vAlign w:val="center"/>
          </w:tcPr>
          <w:p>
            <w:pPr>
              <w:pStyle w:val="15"/>
              <w:rPr>
                <w:rFonts w:eastAsia="楷体_GB2312"/>
                <w:color w:val="000000"/>
                <w:kern w:val="0"/>
                <w:szCs w:val="21"/>
              </w:rPr>
            </w:pPr>
            <w:r>
              <w:rPr>
                <w:szCs w:val="21"/>
              </w:rPr>
              <w:t>创新创业基础</w:t>
            </w:r>
          </w:p>
        </w:tc>
        <w:tc>
          <w:tcPr>
            <w:tcW w:w="6396" w:type="dxa"/>
            <w:shd w:val="clear" w:color="auto" w:fill="auto"/>
          </w:tcPr>
          <w:p>
            <w:pPr>
              <w:ind w:firstLine="422" w:firstLineChars="200"/>
              <w:rPr>
                <w:b/>
                <w:bCs/>
              </w:rPr>
            </w:pPr>
            <w:r>
              <w:rPr>
                <w:rFonts w:hint="eastAsia"/>
                <w:b/>
                <w:bCs/>
              </w:rPr>
              <w:t>教学内容：</w:t>
            </w:r>
            <w:r>
              <w:rPr>
                <w:rFonts w:hint="eastAsia"/>
                <w:bCs/>
              </w:rPr>
              <w:t>本课程主要讲授包括创新探索、创业思维与创新意识、创新方法、创业者与创业团队建设等内容。</w:t>
            </w:r>
          </w:p>
          <w:p>
            <w:pPr>
              <w:pStyle w:val="15"/>
              <w:ind w:firstLine="422" w:firstLineChars="200"/>
              <w:rPr>
                <w:color w:val="000000"/>
                <w:kern w:val="0"/>
                <w:szCs w:val="21"/>
              </w:rPr>
            </w:pPr>
            <w:r>
              <w:rPr>
                <w:rFonts w:hint="eastAsia"/>
                <w:b/>
                <w:bCs/>
              </w:rPr>
              <w:t>教学要求：</w:t>
            </w:r>
            <w:r>
              <w:rPr>
                <w:rFonts w:hint="eastAsia"/>
                <w:bCs/>
              </w:rPr>
              <w:t>采用线上结合线下授课方式，使学生了解创新创业基础知识和基本理论，熟悉创业基本流程和方法，了解相关法律法规和政策，培养学生创新创业热情和职业素养。</w:t>
            </w:r>
            <w:r>
              <w:rPr>
                <w:rFonts w:hint="eastAsia"/>
                <w:bCs/>
                <w:lang w:val="en-US" w:eastAsia="zh-CN"/>
              </w:rPr>
              <w:t>把创业教育融入人才培养体系，贯穿人才培养全过程，面向全体学生广泛、系统开展，让学生不断增强自身就业竞争能力和社会适应能力，成为适应创新型国家建设需要的高水平创新人才。</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10</w:t>
            </w:r>
          </w:p>
        </w:tc>
        <w:tc>
          <w:tcPr>
            <w:tcW w:w="1110" w:type="dxa"/>
            <w:shd w:val="clear" w:color="auto" w:fill="auto"/>
            <w:vAlign w:val="center"/>
          </w:tcPr>
          <w:p>
            <w:pPr>
              <w:pStyle w:val="15"/>
              <w:rPr>
                <w:rFonts w:eastAsia="楷体_GB2312"/>
                <w:color w:val="000000"/>
                <w:kern w:val="0"/>
                <w:szCs w:val="21"/>
              </w:rPr>
            </w:pPr>
            <w:r>
              <w:rPr>
                <w:szCs w:val="21"/>
              </w:rPr>
              <w:t>职业规划与就业指导</w:t>
            </w:r>
          </w:p>
        </w:tc>
        <w:tc>
          <w:tcPr>
            <w:tcW w:w="6396" w:type="dxa"/>
            <w:shd w:val="clear" w:color="auto" w:fill="auto"/>
            <w:vAlign w:val="center"/>
          </w:tcPr>
          <w:p>
            <w:pPr>
              <w:ind w:firstLine="422" w:firstLineChars="200"/>
              <w:rPr>
                <w:color w:val="000000"/>
                <w:kern w:val="0"/>
                <w:szCs w:val="21"/>
              </w:rPr>
            </w:pPr>
            <w:r>
              <w:rPr>
                <w:b/>
                <w:color w:val="000000"/>
                <w:kern w:val="0"/>
                <w:szCs w:val="21"/>
              </w:rPr>
              <w:t>教学内容：</w:t>
            </w:r>
            <w:r>
              <w:rPr>
                <w:rFonts w:hint="eastAsia"/>
                <w:color w:val="000000"/>
                <w:kern w:val="0"/>
                <w:szCs w:val="21"/>
              </w:rPr>
              <w:t>包括职业目标确定、求职材料制作、面试技巧、就业权益保护等内容</w:t>
            </w:r>
            <w:r>
              <w:rPr>
                <w:color w:val="000000"/>
                <w:kern w:val="0"/>
                <w:szCs w:val="21"/>
              </w:rPr>
              <w:t>。</w:t>
            </w:r>
          </w:p>
          <w:p>
            <w:pPr>
              <w:pStyle w:val="15"/>
              <w:ind w:firstLine="422" w:firstLineChars="200"/>
              <w:rPr>
                <w:color w:val="000000"/>
                <w:kern w:val="0"/>
                <w:szCs w:val="21"/>
              </w:rPr>
            </w:pPr>
            <w:r>
              <w:rPr>
                <w:b/>
                <w:color w:val="000000"/>
                <w:kern w:val="0"/>
                <w:szCs w:val="21"/>
              </w:rPr>
              <w:t>教学要求</w:t>
            </w:r>
            <w:r>
              <w:rPr>
                <w:color w:val="000000"/>
                <w:kern w:val="0"/>
                <w:szCs w:val="21"/>
              </w:rPr>
              <w:t>：通过学习，</w:t>
            </w:r>
            <w:r>
              <w:rPr>
                <w:rFonts w:hint="eastAsia"/>
                <w:color w:val="000000"/>
                <w:kern w:val="0"/>
                <w:szCs w:val="21"/>
              </w:rPr>
              <w:t>培养大学生职业生涯规划能力和提升就业能力为目标，侧重学生当前严峻就业形势下，能务实进行自我探索和职业规划的能力以及提升求职就业的能力</w:t>
            </w:r>
            <w:r>
              <w:rPr>
                <w:color w:val="000000"/>
                <w:kern w:val="0"/>
                <w:szCs w:val="21"/>
              </w:rPr>
              <w:t>。</w:t>
            </w:r>
            <w:r>
              <w:rPr>
                <w:rFonts w:hint="eastAsia"/>
                <w:color w:val="000000"/>
                <w:kern w:val="0"/>
                <w:szCs w:val="21"/>
              </w:rPr>
              <w:t>使学生树立正确的职业生涯规划理念，增强大学生自我认识能力，拓宽大学生对未来职业生涯认知的宽度和广度。提升大学生就业能力、求职心理抗挫能力、职场适应能力，树立正确的就业观，培养大学生创业素养。</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32</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ascii="Times New Roman" w:hAnsi="Times New Roman" w:eastAsia="楷体_GB2312" w:cs="Times New Roman"/>
                <w:color w:val="000000"/>
                <w:kern w:val="0"/>
                <w:sz w:val="21"/>
                <w:szCs w:val="21"/>
                <w:lang w:val="en-US" w:eastAsia="zh-CN" w:bidi="ar-SA"/>
              </w:rPr>
            </w:pPr>
            <w:r>
              <w:rPr>
                <w:rFonts w:ascii="Times New Roman" w:hAnsi="Times New Roman"/>
                <w:szCs w:val="21"/>
              </w:rPr>
              <w:t>11</w:t>
            </w:r>
          </w:p>
        </w:tc>
        <w:tc>
          <w:tcPr>
            <w:tcW w:w="1110" w:type="dxa"/>
            <w:shd w:val="clear" w:color="auto" w:fill="auto"/>
            <w:vAlign w:val="center"/>
          </w:tcPr>
          <w:p>
            <w:pPr>
              <w:pStyle w:val="15"/>
              <w:rPr>
                <w:rFonts w:eastAsia="楷体_GB2312"/>
                <w:color w:val="000000"/>
                <w:kern w:val="0"/>
                <w:szCs w:val="21"/>
              </w:rPr>
            </w:pPr>
            <w:r>
              <w:rPr>
                <w:szCs w:val="21"/>
              </w:rPr>
              <w:t>大学英语</w:t>
            </w:r>
          </w:p>
        </w:tc>
        <w:tc>
          <w:tcPr>
            <w:tcW w:w="6396" w:type="dxa"/>
            <w:shd w:val="clear" w:color="auto" w:fill="auto"/>
            <w:vAlign w:val="center"/>
          </w:tcPr>
          <w:p>
            <w:pPr>
              <w:pStyle w:val="15"/>
              <w:ind w:firstLine="422" w:firstLineChars="200"/>
              <w:rPr>
                <w:color w:val="000000"/>
                <w:kern w:val="0"/>
                <w:szCs w:val="21"/>
              </w:rPr>
            </w:pPr>
            <w:r>
              <w:rPr>
                <w:b/>
                <w:color w:val="000000"/>
                <w:kern w:val="0"/>
                <w:szCs w:val="21"/>
              </w:rPr>
              <w:t>教学内容：</w:t>
            </w:r>
            <w:r>
              <w:rPr>
                <w:color w:val="000000"/>
                <w:kern w:val="0"/>
                <w:szCs w:val="21"/>
              </w:rPr>
              <w:t>本课程是各专业学生必修的公共基础课，以外语教学理论为指导，集多种教学方法和教学手段为一体，通过系统的教学课堂讲授</w:t>
            </w:r>
            <w:r>
              <w:rPr>
                <w:rFonts w:hint="eastAsia"/>
                <w:color w:val="000000"/>
                <w:kern w:val="0"/>
                <w:szCs w:val="21"/>
              </w:rPr>
              <w:t>开展</w:t>
            </w:r>
            <w:r>
              <w:rPr>
                <w:color w:val="000000"/>
                <w:kern w:val="0"/>
                <w:szCs w:val="21"/>
              </w:rPr>
              <w:t>听、说、读、写、译的综合训练</w:t>
            </w:r>
            <w:r>
              <w:rPr>
                <w:rFonts w:hint="eastAsia"/>
                <w:color w:val="000000"/>
                <w:kern w:val="0"/>
                <w:szCs w:val="21"/>
              </w:rPr>
              <w:t>，</w:t>
            </w:r>
            <w:r>
              <w:rPr>
                <w:color w:val="000000"/>
                <w:kern w:val="0"/>
                <w:szCs w:val="21"/>
              </w:rPr>
              <w:t>以英语语言知识、应用技能、学习策略和跨文化交际为主要教学内容。</w:t>
            </w:r>
          </w:p>
          <w:p>
            <w:pPr>
              <w:pStyle w:val="15"/>
              <w:ind w:firstLine="422" w:firstLineChars="200"/>
              <w:rPr>
                <w:color w:val="000000"/>
                <w:kern w:val="0"/>
                <w:szCs w:val="21"/>
              </w:rPr>
            </w:pPr>
            <w:r>
              <w:rPr>
                <w:b/>
                <w:color w:val="000000"/>
                <w:kern w:val="0"/>
                <w:szCs w:val="21"/>
              </w:rPr>
              <w:t>教学要求</w:t>
            </w:r>
            <w:r>
              <w:rPr>
                <w:color w:val="000000"/>
                <w:kern w:val="0"/>
                <w:szCs w:val="21"/>
              </w:rPr>
              <w:t>：通过本课程的学习，使学生掌握必需的英语基础知识，具备一定的英语听、说、读、写、译等语言交际能力。培养学生对英语语言文化的理解力，提高学生使用语言的技能以及自主学习的能力，提高综合文化素养，能在涉外交际的日常活动和职场环境进行简单的口头和书面交流。</w:t>
            </w:r>
          </w:p>
        </w:tc>
        <w:tc>
          <w:tcPr>
            <w:tcW w:w="550" w:type="dxa"/>
            <w:shd w:val="clear" w:color="auto" w:fill="auto"/>
            <w:vAlign w:val="center"/>
          </w:tcPr>
          <w:p>
            <w:pPr>
              <w:pStyle w:val="15"/>
              <w:jc w:val="center"/>
              <w:rPr>
                <w:rFonts w:eastAsia="楷体_GB2312"/>
                <w:color w:val="000000"/>
                <w:kern w:val="0"/>
                <w:szCs w:val="21"/>
              </w:rPr>
            </w:pPr>
            <w:r>
              <w:rPr>
                <w:rFonts w:ascii="Times New Roman" w:hAnsi="Times New Roman"/>
                <w:szCs w:val="21"/>
              </w:rPr>
              <w:t>208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dxa"/>
            <w:shd w:val="clear" w:color="auto" w:fill="auto"/>
            <w:vAlign w:val="center"/>
          </w:tcPr>
          <w:p>
            <w:pPr>
              <w:pStyle w:val="15"/>
              <w:jc w:val="center"/>
              <w:rPr>
                <w:rFonts w:hint="eastAsia" w:eastAsia="宋体"/>
                <w:color w:val="000000"/>
                <w:kern w:val="0"/>
                <w:szCs w:val="21"/>
                <w:lang w:val="en-US" w:eastAsia="zh-CN"/>
              </w:rPr>
            </w:pPr>
            <w:r>
              <w:rPr>
                <w:rFonts w:ascii="Times New Roman" w:hAnsi="Times New Roman"/>
                <w:szCs w:val="21"/>
              </w:rPr>
              <w:t>1</w:t>
            </w:r>
            <w:r>
              <w:rPr>
                <w:rFonts w:hint="eastAsia" w:ascii="Times New Roman" w:hAnsi="Times New Roman"/>
                <w:szCs w:val="21"/>
                <w:lang w:val="en-US" w:eastAsia="zh-CN"/>
              </w:rPr>
              <w:t>2</w:t>
            </w:r>
          </w:p>
        </w:tc>
        <w:tc>
          <w:tcPr>
            <w:tcW w:w="1110" w:type="dxa"/>
            <w:shd w:val="clear" w:color="auto" w:fill="auto"/>
            <w:vAlign w:val="center"/>
          </w:tcPr>
          <w:p>
            <w:pPr>
              <w:pStyle w:val="15"/>
              <w:rPr>
                <w:rFonts w:hint="eastAsia" w:eastAsia="宋体"/>
                <w:color w:val="000000"/>
                <w:kern w:val="0"/>
                <w:szCs w:val="21"/>
                <w:lang w:val="en-US" w:eastAsia="zh-CN"/>
              </w:rPr>
            </w:pPr>
            <w:r>
              <w:rPr>
                <w:szCs w:val="21"/>
              </w:rPr>
              <w:t>形势与政策</w:t>
            </w:r>
            <w:r>
              <w:rPr>
                <w:rFonts w:hint="eastAsia"/>
                <w:szCs w:val="21"/>
                <w:lang w:val="en-US" w:eastAsia="zh-CN"/>
              </w:rPr>
              <w:t>教育（含廉洁教育）</w:t>
            </w:r>
          </w:p>
        </w:tc>
        <w:tc>
          <w:tcPr>
            <w:tcW w:w="6396" w:type="dxa"/>
            <w:shd w:val="clear" w:color="auto" w:fill="auto"/>
            <w:vAlign w:val="center"/>
          </w:tcPr>
          <w:p>
            <w:pPr>
              <w:ind w:firstLine="422" w:firstLineChars="200"/>
            </w:pPr>
            <w:r>
              <w:rPr>
                <w:b/>
                <w:bCs/>
              </w:rPr>
              <w:t>教学内容：</w:t>
            </w:r>
            <w:r>
              <w:t>本课程主要内容</w:t>
            </w:r>
            <w:r>
              <w:rPr>
                <w:rFonts w:hint="eastAsia"/>
              </w:rPr>
              <w:t>包括学习党和国家近期重大方针政策、国内外新形势、新变化、热点问题及我国政府的原则立场等，同时开展大学生廉洁教育</w:t>
            </w:r>
            <w:r>
              <w:t>。</w:t>
            </w:r>
          </w:p>
          <w:p>
            <w:pPr>
              <w:pStyle w:val="15"/>
              <w:ind w:firstLine="422" w:firstLineChars="200"/>
              <w:rPr>
                <w:color w:val="000000"/>
                <w:kern w:val="0"/>
                <w:szCs w:val="21"/>
              </w:rPr>
            </w:pPr>
            <w:r>
              <w:rPr>
                <w:b/>
                <w:bCs/>
              </w:rPr>
              <w:t>教学要求：</w:t>
            </w:r>
            <w:r>
              <w:rPr>
                <w:rFonts w:hint="eastAsia"/>
                <w:b w:val="0"/>
                <w:bCs w:val="0"/>
              </w:rPr>
              <w:t>使学生及时了解党和国家的路线、方针和政策，能够认清当前形势和任务，正确看待和分析国内外热点问题，在新形势下听党话、跟党走，自觉为党的第二个百年奋斗目标不断奋斗。</w:t>
            </w:r>
            <w:r>
              <w:rPr>
                <w:rFonts w:hint="eastAsia"/>
              </w:rPr>
              <w:t>紧紧围绕党和国家重大方针政策和决策部署，深刻剖析国内外形势和热点问题，使学生更直接地了解经济社会发展的新成就、新变化，引导大学生投身于中华民族伟大复兴和社会主义现代化建设的历史新征程</w:t>
            </w:r>
            <w:r>
              <w:t>。</w:t>
            </w:r>
          </w:p>
        </w:tc>
        <w:tc>
          <w:tcPr>
            <w:tcW w:w="550" w:type="dxa"/>
            <w:shd w:val="clear" w:color="auto" w:fill="auto"/>
            <w:vAlign w:val="center"/>
          </w:tcPr>
          <w:p>
            <w:pPr>
              <w:pStyle w:val="15"/>
              <w:jc w:val="center"/>
              <w:rPr>
                <w:rFonts w:hint="eastAsia" w:eastAsia="宋体"/>
                <w:color w:val="000000"/>
                <w:kern w:val="0"/>
                <w:szCs w:val="21"/>
                <w:lang w:val="en-US" w:eastAsia="zh-CN"/>
              </w:rPr>
            </w:pPr>
            <w:r>
              <w:rPr>
                <w:rFonts w:ascii="Times New Roman" w:hAnsi="Times New Roman"/>
                <w:szCs w:val="21"/>
              </w:rPr>
              <w:t>6</w:t>
            </w:r>
            <w:r>
              <w:rPr>
                <w:rFonts w:hint="eastAsia" w:ascii="Times New Roman" w:hAnsi="Times New Roman"/>
                <w:szCs w:val="21"/>
                <w:lang w:val="en-US" w:eastAsia="zh-CN"/>
              </w:rPr>
              <w:t>6</w:t>
            </w:r>
          </w:p>
        </w:tc>
      </w:tr>
    </w:tbl>
    <w:p>
      <w:pPr>
        <w:numPr>
          <w:ilvl w:val="0"/>
          <w:numId w:val="0"/>
        </w:numPr>
        <w:spacing w:line="360" w:lineRule="auto"/>
        <w:ind w:left="482" w:leftChars="0"/>
        <w:contextualSpacing/>
        <w:outlineLvl w:val="2"/>
        <w:rPr>
          <w:rFonts w:hint="eastAsia" w:eastAsia="宋体"/>
          <w:b/>
          <w:sz w:val="28"/>
          <w:szCs w:val="28"/>
          <w:lang w:val="en-US" w:eastAsia="zh-CN"/>
        </w:rPr>
      </w:pPr>
      <w:r>
        <w:rPr>
          <w:rFonts w:hint="eastAsia"/>
          <w:b/>
          <w:sz w:val="28"/>
          <w:szCs w:val="28"/>
          <w:lang w:eastAsia="zh-CN"/>
        </w:rPr>
        <w:t>（</w:t>
      </w:r>
      <w:r>
        <w:rPr>
          <w:rFonts w:hint="eastAsia"/>
          <w:b/>
          <w:sz w:val="28"/>
          <w:szCs w:val="28"/>
          <w:lang w:val="en-US" w:eastAsia="zh-CN"/>
        </w:rPr>
        <w:t>二</w:t>
      </w:r>
      <w:r>
        <w:rPr>
          <w:rFonts w:hint="eastAsia"/>
          <w:b/>
          <w:sz w:val="28"/>
          <w:szCs w:val="28"/>
          <w:lang w:eastAsia="zh-CN"/>
        </w:rPr>
        <w:t>）</w:t>
      </w:r>
      <w:r>
        <w:rPr>
          <w:b/>
          <w:sz w:val="28"/>
          <w:szCs w:val="28"/>
        </w:rPr>
        <w:t>工程技术基础</w:t>
      </w:r>
      <w:r>
        <w:rPr>
          <w:rFonts w:hint="eastAsia"/>
          <w:b/>
          <w:sz w:val="28"/>
          <w:szCs w:val="28"/>
          <w:lang w:val="en-US" w:eastAsia="zh-CN"/>
        </w:rPr>
        <w:t>课程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1125"/>
        <w:gridCol w:w="6390"/>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序号</w:t>
            </w:r>
          </w:p>
        </w:tc>
        <w:tc>
          <w:tcPr>
            <w:tcW w:w="1125"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课程名称</w:t>
            </w:r>
          </w:p>
        </w:tc>
        <w:tc>
          <w:tcPr>
            <w:tcW w:w="6390"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主要教学内容及要求</w:t>
            </w:r>
          </w:p>
        </w:tc>
        <w:tc>
          <w:tcPr>
            <w:tcW w:w="55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1</w:t>
            </w:r>
          </w:p>
        </w:tc>
        <w:tc>
          <w:tcPr>
            <w:tcW w:w="1125" w:type="dxa"/>
            <w:shd w:val="clear" w:color="auto" w:fill="auto"/>
            <w:vAlign w:val="center"/>
          </w:tcPr>
          <w:p>
            <w:pPr>
              <w:pStyle w:val="15"/>
              <w:contextualSpacing/>
              <w:rPr>
                <w:rFonts w:eastAsia="楷体_GB2312"/>
                <w:color w:val="000000"/>
                <w:kern w:val="0"/>
                <w:szCs w:val="21"/>
              </w:rPr>
            </w:pPr>
            <w:r>
              <w:rPr>
                <w:szCs w:val="21"/>
              </w:rPr>
              <w:t>高等数学</w:t>
            </w:r>
          </w:p>
        </w:tc>
        <w:tc>
          <w:tcPr>
            <w:tcW w:w="6390" w:type="dxa"/>
            <w:shd w:val="clear" w:color="auto" w:fill="auto"/>
            <w:vAlign w:val="center"/>
          </w:tcPr>
          <w:p>
            <w:pPr>
              <w:ind w:firstLine="422" w:firstLineChars="200"/>
              <w:rPr>
                <w:szCs w:val="21"/>
              </w:rPr>
            </w:pPr>
            <w:r>
              <w:rPr>
                <w:b/>
                <w:bCs/>
                <w:color w:val="000000"/>
                <w:kern w:val="0"/>
                <w:szCs w:val="21"/>
              </w:rPr>
              <w:t>教学内容：</w:t>
            </w:r>
            <w:r>
              <w:rPr>
                <w:szCs w:val="21"/>
              </w:rPr>
              <w:t>函数、极限与连续；一元函数微分学（导数与微分、导数的应用）；一元函数积分学（不定积分、定积分及其应用）；常微分方程；空间解析几何与向量代数；多元函数微分学（偏导数与全微分）；多元函数积分学（二、三重积分、曲线积分与曲面积分）；无穷级数。</w:t>
            </w:r>
          </w:p>
          <w:p>
            <w:pPr>
              <w:pStyle w:val="15"/>
              <w:ind w:firstLine="422" w:firstLineChars="200"/>
              <w:rPr>
                <w:color w:val="000000"/>
                <w:kern w:val="0"/>
                <w:szCs w:val="21"/>
              </w:rPr>
            </w:pPr>
            <w:r>
              <w:rPr>
                <w:b/>
                <w:bCs/>
                <w:color w:val="000000"/>
                <w:kern w:val="0"/>
                <w:szCs w:val="21"/>
              </w:rPr>
              <w:t>教学要求：</w:t>
            </w:r>
            <w:r>
              <w:rPr>
                <w:szCs w:val="21"/>
              </w:rPr>
              <w:t>通过本课程的学习，使学生了解一元、多元微积分的基本概念。掌握微积分学的基本运算法则与计算方法并会用微积分解决实际问题。在掌握必要的基础知识的同时，具有一定的数学建模思想，并将这种思想贯穿于提出问题、分析问题、解决问题的全过程。</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176</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w:t>
            </w:r>
          </w:p>
        </w:tc>
        <w:tc>
          <w:tcPr>
            <w:tcW w:w="1125" w:type="dxa"/>
            <w:shd w:val="clear" w:color="auto" w:fill="auto"/>
            <w:vAlign w:val="center"/>
          </w:tcPr>
          <w:p>
            <w:pPr>
              <w:pStyle w:val="15"/>
              <w:contextualSpacing/>
              <w:rPr>
                <w:rFonts w:eastAsia="楷体_GB2312"/>
                <w:color w:val="000000"/>
                <w:kern w:val="0"/>
                <w:szCs w:val="21"/>
              </w:rPr>
            </w:pPr>
            <w:r>
              <w:rPr>
                <w:szCs w:val="21"/>
              </w:rPr>
              <w:t>大学物理</w:t>
            </w:r>
          </w:p>
        </w:tc>
        <w:tc>
          <w:tcPr>
            <w:tcW w:w="6390" w:type="dxa"/>
            <w:shd w:val="clear" w:color="auto" w:fill="auto"/>
            <w:vAlign w:val="center"/>
          </w:tcPr>
          <w:p>
            <w:pPr>
              <w:pStyle w:val="15"/>
              <w:ind w:firstLine="422" w:firstLineChars="200"/>
              <w:rPr>
                <w:color w:val="000000"/>
                <w:kern w:val="0"/>
                <w:szCs w:val="21"/>
              </w:rPr>
            </w:pPr>
            <w:r>
              <w:rPr>
                <w:b/>
                <w:bCs/>
                <w:color w:val="000000"/>
                <w:kern w:val="0"/>
                <w:szCs w:val="21"/>
              </w:rPr>
              <w:t>教学内容：</w:t>
            </w:r>
            <w:r>
              <w:rPr>
                <w:color w:val="000000"/>
                <w:kern w:val="0"/>
                <w:szCs w:val="21"/>
              </w:rPr>
              <w:t>力学（质点运动学；质点动力学；刚体力学；流体力学）、热力学（理想气体的统计描述；热力学第一定律；热力学第二定律）、电磁学（静电场的基本规律；磁场的基本规律；电磁感应的基本规律）、振动与波动学（简谐振动；平面简谐波；振动与波动的能量）、光学（光的干涉；光的衍射；光的偏振）等物理基础知识。</w:t>
            </w:r>
          </w:p>
          <w:p>
            <w:pPr>
              <w:pStyle w:val="15"/>
              <w:ind w:firstLine="422" w:firstLineChars="200"/>
              <w:rPr>
                <w:color w:val="000000"/>
                <w:kern w:val="0"/>
                <w:szCs w:val="21"/>
              </w:rPr>
            </w:pPr>
            <w:r>
              <w:rPr>
                <w:b/>
                <w:bCs/>
                <w:color w:val="000000"/>
                <w:kern w:val="0"/>
                <w:szCs w:val="21"/>
              </w:rPr>
              <w:t>教学要求：</w:t>
            </w:r>
            <w:r>
              <w:rPr>
                <w:color w:val="000000"/>
                <w:kern w:val="0"/>
                <w:szCs w:val="21"/>
              </w:rPr>
              <w:t>提高学生分析问题、解决问题的能力、自学能力和实验操作能力，以及在实际的工程技术工作中具有一定的适应能力。</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3</w:t>
            </w:r>
          </w:p>
        </w:tc>
        <w:tc>
          <w:tcPr>
            <w:tcW w:w="1125" w:type="dxa"/>
            <w:shd w:val="clear" w:color="auto" w:fill="auto"/>
            <w:vAlign w:val="center"/>
          </w:tcPr>
          <w:p>
            <w:pPr>
              <w:pStyle w:val="15"/>
              <w:contextualSpacing/>
              <w:rPr>
                <w:rFonts w:eastAsia="楷体_GB2312"/>
                <w:color w:val="000000"/>
                <w:kern w:val="0"/>
                <w:szCs w:val="21"/>
              </w:rPr>
            </w:pPr>
            <w:r>
              <w:rPr>
                <w:szCs w:val="21"/>
              </w:rPr>
              <w:t>线性代数</w:t>
            </w:r>
          </w:p>
        </w:tc>
        <w:tc>
          <w:tcPr>
            <w:tcW w:w="6390" w:type="dxa"/>
            <w:shd w:val="clear" w:color="auto" w:fill="auto"/>
            <w:vAlign w:val="center"/>
          </w:tcPr>
          <w:p>
            <w:pPr>
              <w:ind w:firstLine="422" w:firstLineChars="200"/>
              <w:rPr>
                <w:szCs w:val="21"/>
              </w:rPr>
            </w:pPr>
            <w:r>
              <w:rPr>
                <w:b/>
                <w:bCs/>
                <w:color w:val="000000"/>
                <w:kern w:val="0"/>
                <w:szCs w:val="21"/>
              </w:rPr>
              <w:t>教学内容：</w:t>
            </w:r>
            <w:r>
              <w:rPr>
                <w:szCs w:val="21"/>
              </w:rPr>
              <w:t>行列式，矩阵及其运算，矩阵的初等变换与线性方程组，向量组的线性相关性，相似矩阵及二次型。</w:t>
            </w:r>
          </w:p>
          <w:p>
            <w:pPr>
              <w:pStyle w:val="15"/>
              <w:ind w:firstLine="422" w:firstLineChars="200"/>
              <w:rPr>
                <w:color w:val="000000"/>
                <w:kern w:val="0"/>
                <w:szCs w:val="21"/>
              </w:rPr>
            </w:pPr>
            <w:r>
              <w:rPr>
                <w:b/>
                <w:bCs/>
                <w:color w:val="000000"/>
                <w:kern w:val="0"/>
                <w:szCs w:val="21"/>
              </w:rPr>
              <w:t>教学要求：</w:t>
            </w:r>
            <w:r>
              <w:rPr>
                <w:szCs w:val="21"/>
              </w:rPr>
              <w:t>通过本课程的学习,使学生获得应用科学中常用的矩阵方法、线性方程组、二次型等理论及其有关的基础知识,并具有熟练的矩阵运算能力和用矩阵方法解决一些实际问题的能力,从而为学习后续课程及进一步扩大数学知识面,提高素质奠定必要的基础。</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w:t>
            </w:r>
          </w:p>
        </w:tc>
        <w:tc>
          <w:tcPr>
            <w:tcW w:w="1125" w:type="dxa"/>
            <w:shd w:val="clear" w:color="auto" w:fill="auto"/>
            <w:vAlign w:val="center"/>
          </w:tcPr>
          <w:p>
            <w:pPr>
              <w:pStyle w:val="15"/>
              <w:contextualSpacing/>
              <w:rPr>
                <w:rFonts w:eastAsia="楷体_GB2312"/>
                <w:color w:val="000000"/>
                <w:kern w:val="0"/>
                <w:szCs w:val="21"/>
              </w:rPr>
            </w:pPr>
            <w:r>
              <w:rPr>
                <w:szCs w:val="21"/>
              </w:rPr>
              <w:t>概率论与数理统计</w:t>
            </w:r>
          </w:p>
        </w:tc>
        <w:tc>
          <w:tcPr>
            <w:tcW w:w="6390" w:type="dxa"/>
            <w:shd w:val="clear" w:color="auto" w:fill="auto"/>
            <w:vAlign w:val="center"/>
          </w:tcPr>
          <w:p>
            <w:pPr>
              <w:pStyle w:val="15"/>
              <w:ind w:firstLine="422" w:firstLineChars="200"/>
              <w:rPr>
                <w:color w:val="000000"/>
                <w:kern w:val="0"/>
                <w:szCs w:val="21"/>
              </w:rPr>
            </w:pPr>
            <w:r>
              <w:rPr>
                <w:b/>
                <w:bCs/>
                <w:color w:val="000000"/>
                <w:kern w:val="0"/>
                <w:szCs w:val="21"/>
              </w:rPr>
              <w:t>教学内容：</w:t>
            </w:r>
            <w:r>
              <w:rPr>
                <w:color w:val="000000"/>
                <w:kern w:val="0"/>
                <w:szCs w:val="21"/>
              </w:rPr>
              <w:t>随机事件与概率、随机变量及其分布、随机向量及其分布、随机变量的数字特征、特征函数以及独立随机变量序列的极限定理等内容。</w:t>
            </w:r>
          </w:p>
          <w:p>
            <w:pPr>
              <w:pStyle w:val="15"/>
              <w:ind w:firstLine="422" w:firstLineChars="200"/>
              <w:rPr>
                <w:color w:val="000000"/>
                <w:kern w:val="0"/>
                <w:szCs w:val="21"/>
              </w:rPr>
            </w:pPr>
            <w:r>
              <w:rPr>
                <w:b/>
                <w:bCs/>
                <w:color w:val="000000"/>
                <w:kern w:val="0"/>
                <w:szCs w:val="21"/>
              </w:rPr>
              <w:t>教学要求：</w:t>
            </w:r>
            <w:r>
              <w:rPr>
                <w:color w:val="000000"/>
                <w:kern w:val="0"/>
                <w:szCs w:val="21"/>
              </w:rPr>
              <w:t>通过本门课程的教学，为学生提供必要的概率论基础知识，使学生掌握概率论的基本概念，熟悉它的基本理论和方法。培养学生运用概率统计方法分析和解决实际问题的能力。使学生初步具备描述和处理随机现象中问题的能力，揭示这类随机不确定现象的统计规律。</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w:t>
            </w:r>
          </w:p>
        </w:tc>
        <w:tc>
          <w:tcPr>
            <w:tcW w:w="1125" w:type="dxa"/>
            <w:shd w:val="clear" w:color="auto" w:fill="auto"/>
            <w:vAlign w:val="center"/>
          </w:tcPr>
          <w:p>
            <w:pPr>
              <w:pStyle w:val="15"/>
              <w:contextualSpacing/>
              <w:rPr>
                <w:rFonts w:eastAsia="楷体_GB2312"/>
                <w:color w:val="000000"/>
                <w:kern w:val="0"/>
                <w:szCs w:val="21"/>
              </w:rPr>
            </w:pPr>
            <w:r>
              <w:rPr>
                <w:szCs w:val="21"/>
              </w:rPr>
              <w:t>程序设计语言</w:t>
            </w:r>
          </w:p>
        </w:tc>
        <w:tc>
          <w:tcPr>
            <w:tcW w:w="6390" w:type="dxa"/>
            <w:shd w:val="clear" w:color="auto" w:fill="auto"/>
            <w:vAlign w:val="center"/>
          </w:tcPr>
          <w:p>
            <w:pPr>
              <w:pStyle w:val="15"/>
              <w:ind w:firstLine="422" w:firstLineChars="200"/>
              <w:rPr>
                <w:color w:val="000000"/>
                <w:kern w:val="0"/>
                <w:szCs w:val="21"/>
              </w:rPr>
            </w:pPr>
            <w:r>
              <w:rPr>
                <w:b/>
                <w:bCs/>
                <w:color w:val="000000"/>
                <w:kern w:val="0"/>
                <w:szCs w:val="21"/>
              </w:rPr>
              <w:t>教学内容：</w:t>
            </w:r>
            <w:r>
              <w:rPr>
                <w:color w:val="000000"/>
                <w:kern w:val="0"/>
                <w:szCs w:val="21"/>
              </w:rPr>
              <w:t>本课程内容包括程序设计初步，算法的基本概念，常量、变量、运算符与表达式，程序控制结构，函数，编译预处理，数组，结构体与共用体等。</w:t>
            </w:r>
          </w:p>
          <w:p>
            <w:pPr>
              <w:pStyle w:val="15"/>
              <w:ind w:firstLine="422" w:firstLineChars="200"/>
              <w:rPr>
                <w:color w:val="000000"/>
                <w:kern w:val="0"/>
                <w:szCs w:val="21"/>
              </w:rPr>
            </w:pPr>
            <w:r>
              <w:rPr>
                <w:b/>
                <w:bCs/>
                <w:color w:val="000000"/>
                <w:kern w:val="0"/>
                <w:szCs w:val="21"/>
              </w:rPr>
              <w:t>教学要求：</w:t>
            </w:r>
            <w:r>
              <w:rPr>
                <w:color w:val="000000"/>
                <w:kern w:val="0"/>
                <w:szCs w:val="21"/>
              </w:rPr>
              <w:t>通过本课程的学习，学生应掌握</w:t>
            </w:r>
            <w:r>
              <w:rPr>
                <w:rFonts w:hint="eastAsia"/>
                <w:color w:val="000000"/>
                <w:kern w:val="0"/>
                <w:szCs w:val="21"/>
              </w:rPr>
              <w:t>程序设计</w:t>
            </w:r>
            <w:r>
              <w:rPr>
                <w:color w:val="000000"/>
                <w:kern w:val="0"/>
                <w:szCs w:val="21"/>
              </w:rPr>
              <w:t>语言的基本语法，还应掌握程序设计的基本思想、并通过本课程的学习，使学生掌握传统的结构化程序设计的一般方法，培养学生严谨的程序设计思想、灵活的思维方式及较强的动手能力，并以此为基础，让学生逐渐掌握简单程序的设计和开发手段。</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48</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w:t>
            </w:r>
          </w:p>
        </w:tc>
        <w:tc>
          <w:tcPr>
            <w:tcW w:w="1125" w:type="dxa"/>
            <w:shd w:val="clear" w:color="auto" w:fill="auto"/>
            <w:vAlign w:val="center"/>
          </w:tcPr>
          <w:p>
            <w:pPr>
              <w:pStyle w:val="15"/>
              <w:contextualSpacing/>
              <w:rPr>
                <w:rFonts w:eastAsia="楷体_GB2312"/>
                <w:color w:val="000000"/>
                <w:kern w:val="0"/>
                <w:szCs w:val="21"/>
              </w:rPr>
            </w:pPr>
            <w:r>
              <w:rPr>
                <w:szCs w:val="21"/>
              </w:rPr>
              <w:t>理论力学</w:t>
            </w:r>
          </w:p>
        </w:tc>
        <w:tc>
          <w:tcPr>
            <w:tcW w:w="6390" w:type="dxa"/>
            <w:shd w:val="clear" w:color="auto" w:fill="auto"/>
            <w:vAlign w:val="center"/>
          </w:tcPr>
          <w:p>
            <w:pPr>
              <w:pStyle w:val="15"/>
              <w:ind w:firstLine="422" w:firstLineChars="200"/>
              <w:rPr>
                <w:color w:val="000000"/>
                <w:kern w:val="0"/>
                <w:szCs w:val="21"/>
              </w:rPr>
            </w:pPr>
            <w:r>
              <w:rPr>
                <w:b/>
                <w:bCs/>
                <w:color w:val="000000"/>
                <w:kern w:val="0"/>
                <w:szCs w:val="21"/>
              </w:rPr>
              <w:t>教学内容：</w:t>
            </w:r>
            <w:r>
              <w:rPr>
                <w:color w:val="000000"/>
                <w:kern w:val="0"/>
                <w:szCs w:val="21"/>
              </w:rPr>
              <w:t>本课程的理论教学内容分为三部分：静力学、运动学和动力学。静力学主要包括物体的受力分析、力系的等效替换（或简化）、各种力系的平衡条件及其应用；运动学主要包括点的运动学、刚体的简单运动、点的合成运动、刚体的平面运动；动力学主要包括质点动力学基本方程、动量定理、动量矩定理、动能定理等。</w:t>
            </w:r>
          </w:p>
          <w:p>
            <w:pPr>
              <w:pStyle w:val="15"/>
              <w:ind w:firstLine="422" w:firstLineChars="200"/>
              <w:rPr>
                <w:color w:val="000000"/>
                <w:kern w:val="0"/>
                <w:szCs w:val="21"/>
              </w:rPr>
            </w:pPr>
            <w:r>
              <w:rPr>
                <w:b/>
                <w:bCs/>
                <w:color w:val="000000"/>
                <w:kern w:val="0"/>
                <w:szCs w:val="21"/>
              </w:rPr>
              <w:t>教学要求：</w:t>
            </w:r>
            <w:r>
              <w:rPr>
                <w:color w:val="000000"/>
                <w:kern w:val="0"/>
                <w:szCs w:val="21"/>
              </w:rPr>
              <w:t>通过本课程的学习，要求学生掌握质点、质点系和刚体机械运动（包括平衡）的基本规律和研究方法；初步学会应用理论力学的理论和方法分析、解决一些简单的工程实际问题；培养用力学的方法提出问题、分析问题、解决问题的能力。</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7</w:t>
            </w:r>
          </w:p>
        </w:tc>
        <w:tc>
          <w:tcPr>
            <w:tcW w:w="1125" w:type="dxa"/>
            <w:shd w:val="clear" w:color="auto" w:fill="auto"/>
            <w:vAlign w:val="center"/>
          </w:tcPr>
          <w:p>
            <w:pPr>
              <w:pStyle w:val="15"/>
              <w:contextualSpacing/>
              <w:rPr>
                <w:rFonts w:eastAsia="楷体_GB2312"/>
                <w:color w:val="000000"/>
                <w:kern w:val="0"/>
                <w:szCs w:val="21"/>
              </w:rPr>
            </w:pPr>
            <w:r>
              <w:rPr>
                <w:szCs w:val="21"/>
              </w:rPr>
              <w:t>材料力学</w:t>
            </w:r>
          </w:p>
        </w:tc>
        <w:tc>
          <w:tcPr>
            <w:tcW w:w="6390" w:type="dxa"/>
            <w:shd w:val="clear" w:color="auto" w:fill="auto"/>
            <w:vAlign w:val="center"/>
          </w:tcPr>
          <w:p>
            <w:pPr>
              <w:pStyle w:val="15"/>
              <w:ind w:firstLine="422" w:firstLineChars="200"/>
              <w:rPr>
                <w:color w:val="000000"/>
                <w:kern w:val="0"/>
                <w:szCs w:val="21"/>
              </w:rPr>
            </w:pPr>
            <w:r>
              <w:rPr>
                <w:b/>
                <w:bCs/>
                <w:color w:val="000000"/>
                <w:kern w:val="0"/>
                <w:szCs w:val="21"/>
              </w:rPr>
              <w:t>教学内容：</w:t>
            </w:r>
            <w:r>
              <w:rPr>
                <w:color w:val="000000"/>
                <w:kern w:val="0"/>
                <w:szCs w:val="21"/>
              </w:rPr>
              <w:t>材料力学与理论力学一起共同构成了其它各门力学课程的基础，教学内容包括受力构件变形及其变形过程中构件内部应力的分析和计算方法，掌构件的强度、刚度和稳定性分析理论在工程设计、事故分析等方面的作用。</w:t>
            </w:r>
          </w:p>
          <w:p>
            <w:pPr>
              <w:pStyle w:val="15"/>
              <w:ind w:firstLine="422" w:firstLineChars="200"/>
              <w:rPr>
                <w:color w:val="000000"/>
                <w:kern w:val="0"/>
                <w:szCs w:val="21"/>
              </w:rPr>
            </w:pPr>
            <w:r>
              <w:rPr>
                <w:b/>
                <w:bCs/>
                <w:color w:val="000000"/>
                <w:kern w:val="0"/>
                <w:szCs w:val="21"/>
              </w:rPr>
              <w:t>教学要求：</w:t>
            </w:r>
            <w:r>
              <w:rPr>
                <w:color w:val="000000"/>
                <w:kern w:val="0"/>
                <w:szCs w:val="21"/>
              </w:rPr>
              <w:t>通过本课程的学习，要求学生可以掌握杆件强度、刚度、稳定性等知识发生过程，培养学生分析问题与解决问题的能力；以理论分析为基础，培养学生的实验动手能力；发挥其综合素质教育的作用。为经济合理地设计构件提供必要的理论基础和计算方法，并为学好有关的后续课程打好必要的基础。</w:t>
            </w:r>
          </w:p>
        </w:tc>
        <w:tc>
          <w:tcPr>
            <w:tcW w:w="550"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r>
              <w:rPr>
                <w:szCs w:val="21"/>
              </w:rPr>
              <w:t xml:space="preserve"> </w:t>
            </w:r>
          </w:p>
        </w:tc>
      </w:tr>
    </w:tbl>
    <w:p>
      <w:pPr>
        <w:numPr>
          <w:ilvl w:val="0"/>
          <w:numId w:val="0"/>
        </w:numPr>
        <w:spacing w:line="360" w:lineRule="auto"/>
        <w:ind w:left="482" w:leftChars="0"/>
        <w:contextualSpacing/>
        <w:outlineLvl w:val="2"/>
        <w:rPr>
          <w:rFonts w:hint="eastAsia"/>
          <w:b/>
          <w:sz w:val="28"/>
          <w:szCs w:val="28"/>
          <w:lang w:eastAsia="zh-CN"/>
        </w:rPr>
      </w:pPr>
      <w:r>
        <w:rPr>
          <w:rFonts w:hint="eastAsia"/>
          <w:b/>
          <w:sz w:val="28"/>
          <w:szCs w:val="28"/>
          <w:lang w:eastAsia="zh-CN"/>
        </w:rPr>
        <w:t>（</w:t>
      </w:r>
      <w:r>
        <w:rPr>
          <w:rFonts w:hint="eastAsia"/>
          <w:b/>
          <w:sz w:val="28"/>
          <w:szCs w:val="28"/>
          <w:lang w:val="en-US" w:eastAsia="zh-CN"/>
        </w:rPr>
        <w:t>三</w:t>
      </w:r>
      <w:r>
        <w:rPr>
          <w:rFonts w:hint="eastAsia"/>
          <w:b/>
          <w:sz w:val="28"/>
          <w:szCs w:val="28"/>
          <w:lang w:eastAsia="zh-CN"/>
        </w:rPr>
        <w:t>）专业基础课程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1125"/>
        <w:gridCol w:w="6405"/>
        <w:gridCol w:w="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序号</w:t>
            </w:r>
          </w:p>
        </w:tc>
        <w:tc>
          <w:tcPr>
            <w:tcW w:w="1125"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课程名称</w:t>
            </w:r>
          </w:p>
        </w:tc>
        <w:tc>
          <w:tcPr>
            <w:tcW w:w="6405"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主要教学内容及要求</w:t>
            </w:r>
          </w:p>
        </w:tc>
        <w:tc>
          <w:tcPr>
            <w:tcW w:w="55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1</w:t>
            </w:r>
          </w:p>
        </w:tc>
        <w:tc>
          <w:tcPr>
            <w:tcW w:w="1125" w:type="dxa"/>
            <w:shd w:val="clear" w:color="auto" w:fill="auto"/>
            <w:vAlign w:val="center"/>
          </w:tcPr>
          <w:p>
            <w:pPr>
              <w:pStyle w:val="15"/>
              <w:contextualSpacing/>
              <w:rPr>
                <w:rFonts w:eastAsia="楷体_GB2312"/>
                <w:color w:val="000000"/>
                <w:kern w:val="0"/>
                <w:szCs w:val="21"/>
              </w:rPr>
            </w:pPr>
            <w:r>
              <w:rPr>
                <w:szCs w:val="21"/>
              </w:rPr>
              <w:t>工程制图</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本课程主要学习制图基础与投影基本知识；投影理论在道路工程制图方面的应用、几何作图方法和制图基本规则；路桥工程图识读与绘制；计算机绘图方法，</w:t>
            </w:r>
            <w:r>
              <w:rPr>
                <w:rFonts w:ascii="Times New Roman" w:hAnsi="Times New Roman"/>
                <w:color w:val="000000"/>
                <w:kern w:val="0"/>
                <w:szCs w:val="21"/>
              </w:rPr>
              <w:t>AutoCAD</w:t>
            </w:r>
            <w:r>
              <w:rPr>
                <w:color w:val="000000"/>
                <w:kern w:val="0"/>
                <w:szCs w:val="21"/>
              </w:rPr>
              <w:t>基本图形绘制所用的各种命令的使用，利用命令进行路桥工程结构图形的绘制。</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具备工程制图的基本知识、基本理论和基本方法，具备阅读工程图样的能力和运用国家现行工程制图标准进行手工绘图和运用计算机绘图的能力，促进学生解决实际工程图样问题的能力。培养学生科学的思维方法和创新意识，为后续学习其他专业核心课程奠定基础。</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w:t>
            </w:r>
          </w:p>
        </w:tc>
        <w:tc>
          <w:tcPr>
            <w:tcW w:w="1125" w:type="dxa"/>
            <w:shd w:val="clear" w:color="auto" w:fill="auto"/>
            <w:vAlign w:val="center"/>
          </w:tcPr>
          <w:p>
            <w:pPr>
              <w:pStyle w:val="15"/>
              <w:contextualSpacing/>
              <w:rPr>
                <w:rFonts w:eastAsia="楷体_GB2312"/>
                <w:color w:val="000000"/>
                <w:kern w:val="0"/>
                <w:szCs w:val="21"/>
              </w:rPr>
            </w:pPr>
            <w:r>
              <w:rPr>
                <w:szCs w:val="21"/>
              </w:rPr>
              <w:t>道路建筑材料</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 xml:space="preserve">本课程主要学习砂石材料、石灰、水泥、钢材、沥青、石灰稳定土、建筑砂浆、水泥混凝土、沥青混合料等常用材料的技术性能、技术标准及工程应用；学习水泥混凝土、沥青混合料配合比设计及配制方法；学习和训练道路建筑材料试验检测方法、试验报告填写、分析判断等能力。了解新型建筑材料的性能及应用。 </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学习，使学生掌握常见道路建筑材料的技术性质，能熟练完成常用道路建筑材料的常规性能试验检测和评定；能科学、合理、经济地选用各种道路建筑材料；能根据工程要求进行稳定土、水泥混凝土、建筑砂浆、沥青混合料配制；具有较快熟悉新型材料并用于工程实践的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3</w:t>
            </w:r>
          </w:p>
        </w:tc>
        <w:tc>
          <w:tcPr>
            <w:tcW w:w="1125" w:type="dxa"/>
            <w:shd w:val="clear" w:color="auto" w:fill="auto"/>
            <w:vAlign w:val="center"/>
          </w:tcPr>
          <w:p>
            <w:pPr>
              <w:pStyle w:val="15"/>
              <w:contextualSpacing/>
              <w:rPr>
                <w:rFonts w:eastAsia="楷体_GB2312"/>
                <w:color w:val="000000"/>
                <w:kern w:val="0"/>
                <w:szCs w:val="21"/>
              </w:rPr>
            </w:pPr>
            <w:r>
              <w:rPr>
                <w:szCs w:val="21"/>
              </w:rPr>
              <w:t>结构力学</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学习常见平面杆系结构分析方法，包括基本概念、基本原理及基本方法。内容包括几何组成分析，荷载及温度等因素作用下静定结构及超静定结构的内力计算与位移计算的基本方法与技巧。</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培养学生对常见杆件结构具有选择计算简图的初步能力，并选择恰当的计算方法；具有对静定结构、超静定结构进行计算的能力；能对计算结果进行校核、内力分布的合理性做出判定；具有学习结构力学方面专题知识及参考书目的能力。为学生学习后续专业课程及进行结构设计和科学研究打好力学基础。</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w:t>
            </w:r>
          </w:p>
        </w:tc>
        <w:tc>
          <w:tcPr>
            <w:tcW w:w="1125" w:type="dxa"/>
            <w:shd w:val="clear" w:color="auto" w:fill="auto"/>
            <w:vAlign w:val="center"/>
          </w:tcPr>
          <w:p>
            <w:pPr>
              <w:pStyle w:val="15"/>
              <w:contextualSpacing/>
              <w:rPr>
                <w:rFonts w:eastAsia="楷体_GB2312"/>
                <w:color w:val="000000"/>
                <w:kern w:val="0"/>
                <w:szCs w:val="21"/>
              </w:rPr>
            </w:pPr>
            <w:r>
              <w:rPr>
                <w:szCs w:val="21"/>
              </w:rPr>
              <w:t>工程测量</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讲授测量在工程的勘测、施工等阶段的测绘原理与方法，并能通过对测绘仪器的操作技能训练（达到中级工水平），使学生能够独立进行工程中的常规测量工作，将新仪器在测量技术中运用和测量新技术贯穿其中。本课程是一门实践性很强的专业技能课程，课堂讲授与实践操作密切相结合，辅以课间测量实训。</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学生能学生具备工程施工测量的技能和相关理论知识，能够承担施工一线的勘测测量、控制测量以及施工阶段的施工放样测量等工作任务。培养学生诚实守信、沟通合作、吃苦耐劳和客观科学的职业精神，为发展职业能力奠定良好的基础。</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w:t>
            </w:r>
          </w:p>
        </w:tc>
        <w:tc>
          <w:tcPr>
            <w:tcW w:w="1125" w:type="dxa"/>
            <w:shd w:val="clear" w:color="auto" w:fill="auto"/>
            <w:vAlign w:val="center"/>
          </w:tcPr>
          <w:p>
            <w:pPr>
              <w:pStyle w:val="15"/>
              <w:contextualSpacing/>
              <w:rPr>
                <w:rFonts w:eastAsia="楷体_GB2312"/>
                <w:color w:val="000000"/>
                <w:kern w:val="0"/>
                <w:szCs w:val="21"/>
              </w:rPr>
            </w:pPr>
            <w:r>
              <w:rPr>
                <w:szCs w:val="21"/>
              </w:rPr>
              <w:t>土质与土力学</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本课程主要学习土的物理性质、工程分类和必备的公路土工试验方法；土的渗透性、沉降变形、土体强度与稳定性问题。</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根据工程需要和场地环境选择土工试验项目，描述与鉴定土质，规范地进行土工试验；评价与处理道桥地基基础施工中出现的常见土工问题；掌握土力学计算原理。树立工程质量意识和工作规范意识，培养自主学习和土工技术应用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w:t>
            </w:r>
          </w:p>
        </w:tc>
        <w:tc>
          <w:tcPr>
            <w:tcW w:w="1125" w:type="dxa"/>
            <w:shd w:val="clear" w:color="auto" w:fill="auto"/>
            <w:vAlign w:val="center"/>
          </w:tcPr>
          <w:p>
            <w:pPr>
              <w:pStyle w:val="15"/>
              <w:contextualSpacing/>
              <w:rPr>
                <w:rFonts w:eastAsia="楷体_GB2312"/>
                <w:color w:val="000000"/>
                <w:kern w:val="0"/>
                <w:szCs w:val="21"/>
              </w:rPr>
            </w:pPr>
            <w:r>
              <w:rPr>
                <w:szCs w:val="21"/>
              </w:rPr>
              <w:t>结构设计原理</w:t>
            </w:r>
          </w:p>
        </w:tc>
        <w:tc>
          <w:tcPr>
            <w:tcW w:w="6405"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公路工程中所涉及的结构设计，尤其针对常用桥梁的结构形式、基本特点和构造特征；学习常用梁桥的受力特点、构造要求、基本计算原理及简支梁桥的设计计算方法；学习钢筋混凝土结构构件的设计计算原理；学习公路桥梁工程图的组成、图示特点及识读方法。</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认识公路工程常用桥梁构造，掌握中小梁桥结构作用效应计算方法和构件设计原理；能识读常用梁桥工程图并进行工程量核算；具有各类梁桥、拱桥等桥梁工程图识读能力及基础设计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bl>
    <w:p>
      <w:pPr>
        <w:numPr>
          <w:ilvl w:val="0"/>
          <w:numId w:val="0"/>
        </w:numPr>
        <w:spacing w:line="360" w:lineRule="auto"/>
        <w:ind w:left="482" w:leftChars="0"/>
        <w:contextualSpacing/>
        <w:outlineLvl w:val="2"/>
        <w:rPr>
          <w:b/>
          <w:sz w:val="28"/>
          <w:szCs w:val="28"/>
        </w:rPr>
      </w:pPr>
      <w:r>
        <w:rPr>
          <w:rFonts w:hint="eastAsia"/>
          <w:b/>
          <w:sz w:val="28"/>
          <w:szCs w:val="28"/>
          <w:lang w:eastAsia="zh-CN"/>
        </w:rPr>
        <w:t>（</w:t>
      </w:r>
      <w:r>
        <w:rPr>
          <w:rFonts w:hint="eastAsia"/>
          <w:b/>
          <w:sz w:val="28"/>
          <w:szCs w:val="28"/>
          <w:lang w:val="en-US" w:eastAsia="zh-CN"/>
        </w:rPr>
        <w:t>四</w:t>
      </w:r>
      <w:r>
        <w:rPr>
          <w:rFonts w:hint="eastAsia"/>
          <w:b/>
          <w:sz w:val="28"/>
          <w:szCs w:val="28"/>
          <w:lang w:eastAsia="zh-CN"/>
        </w:rPr>
        <w:t>）</w:t>
      </w:r>
      <w:r>
        <w:rPr>
          <w:b/>
          <w:sz w:val="28"/>
          <w:szCs w:val="28"/>
        </w:rPr>
        <w:t>专业核心课程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110"/>
        <w:gridCol w:w="6420"/>
        <w:gridCol w:w="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序号</w:t>
            </w:r>
          </w:p>
        </w:tc>
        <w:tc>
          <w:tcPr>
            <w:tcW w:w="1110"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课程名称</w:t>
            </w:r>
          </w:p>
        </w:tc>
        <w:tc>
          <w:tcPr>
            <w:tcW w:w="6420"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主要教学内容及要求</w:t>
            </w:r>
          </w:p>
        </w:tc>
        <w:tc>
          <w:tcPr>
            <w:tcW w:w="55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1</w:t>
            </w:r>
          </w:p>
        </w:tc>
        <w:tc>
          <w:tcPr>
            <w:tcW w:w="1110" w:type="dxa"/>
            <w:shd w:val="clear" w:color="auto" w:fill="auto"/>
            <w:vAlign w:val="center"/>
          </w:tcPr>
          <w:p>
            <w:pPr>
              <w:pStyle w:val="15"/>
              <w:contextualSpacing/>
              <w:rPr>
                <w:rFonts w:eastAsia="楷体_GB2312"/>
                <w:color w:val="000000"/>
                <w:kern w:val="0"/>
                <w:szCs w:val="21"/>
              </w:rPr>
            </w:pPr>
            <w:r>
              <w:rPr>
                <w:kern w:val="0"/>
                <w:szCs w:val="21"/>
              </w:rPr>
              <w:t>道路勘测设计</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公路平面、纵断面、横断面的形成及相互关系，公路平面设计的原理及方法，公路纵断面设计的原理及方法，公路横断面设计的原理及方法，公路选线和定线的原理及方法，路线中桩坐标的计算原理与方法，公路中线平面放样的基本原理及方法。</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系统的掌握公路平面、纵断面、横断面的设计原理和方法及公路中线放样的原理，清楚地认识公路平面、纵面、横断面的结构，使学生学习本门课程后能够具有识读实际公路工程施工设计图纸的能力，使学生具备根据设计图纸进行公路线形设计、计算与测设的能力。并培养学生的科学、严谨、规范的工作作风及吃苦耐劳、团结协作、勇于创新的工作精神。</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2102</w:t>
            </w:r>
          </w:p>
        </w:tc>
        <w:tc>
          <w:tcPr>
            <w:tcW w:w="1110" w:type="dxa"/>
            <w:shd w:val="clear" w:color="auto" w:fill="auto"/>
            <w:vAlign w:val="center"/>
          </w:tcPr>
          <w:p>
            <w:pPr>
              <w:pStyle w:val="15"/>
              <w:contextualSpacing/>
              <w:rPr>
                <w:rFonts w:eastAsia="楷体_GB2312"/>
                <w:color w:val="000000"/>
                <w:kern w:val="0"/>
                <w:szCs w:val="21"/>
              </w:rPr>
            </w:pPr>
            <w:r>
              <w:rPr>
                <w:kern w:val="0"/>
                <w:szCs w:val="21"/>
              </w:rPr>
              <w:t>路基路面工程</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路基的防护与加固；路基路面施工放样；路基填筑方式或路堑开挖方法；合理选择压实机具；土质、石质路基的施工方法和技术，软土路基施工，路基排水与防护工程施工；沥青混凝土路面和水泥混凝土路面的施工工艺、施工控制以及施工规范的应用。</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具备路基路面工程施工放样的能力；编制土质路基、石质路基、软土路基、路基排水及防护工程施工方案的能力；路基工程各构造物的施工能力；能根据设计文件和施工图进行路面的施工准备工作和路面各层的施工；并能对路面的施工质量进行检查和控制；使学生形成科学、严谨、规范、“实事求是”的工作作风。</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3</w:t>
            </w:r>
          </w:p>
        </w:tc>
        <w:tc>
          <w:tcPr>
            <w:tcW w:w="1110" w:type="dxa"/>
            <w:shd w:val="clear" w:color="auto" w:fill="auto"/>
            <w:vAlign w:val="center"/>
          </w:tcPr>
          <w:p>
            <w:pPr>
              <w:pStyle w:val="15"/>
              <w:contextualSpacing/>
              <w:rPr>
                <w:rFonts w:eastAsia="楷体_GB2312"/>
                <w:color w:val="000000"/>
                <w:kern w:val="0"/>
                <w:szCs w:val="21"/>
              </w:rPr>
            </w:pPr>
            <w:r>
              <w:rPr>
                <w:kern w:val="0"/>
                <w:szCs w:val="21"/>
              </w:rPr>
              <w:t>桥梁工程</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本课程主要教授桥梁主要桥型各分项工程的施工工艺、施工方法及施工技术要点等；包括梁桥、拱桥、涵洞、斜拉桥及悬索桥等桥型的施工工艺和施工方案的制定、实施方案及主要施工技术要点。</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通过本课程的学习，要求学生具备桥梁工程施工控制测量和施工放样能力，能制定桥梁工程施工方案的能力，进行技术指导的能力、质量控制能力以及施工组织的能力。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w:t>
            </w:r>
          </w:p>
        </w:tc>
        <w:tc>
          <w:tcPr>
            <w:tcW w:w="1110" w:type="dxa"/>
            <w:shd w:val="clear" w:color="auto" w:fill="auto"/>
            <w:vAlign w:val="center"/>
          </w:tcPr>
          <w:p>
            <w:pPr>
              <w:pStyle w:val="15"/>
              <w:contextualSpacing/>
              <w:rPr>
                <w:rFonts w:eastAsia="楷体_GB2312"/>
                <w:color w:val="000000"/>
                <w:kern w:val="0"/>
                <w:szCs w:val="21"/>
              </w:rPr>
            </w:pPr>
            <w:r>
              <w:rPr>
                <w:kern w:val="0"/>
                <w:szCs w:val="21"/>
              </w:rPr>
              <w:t>公路工程检测技术</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本课程主要学习公路工程质量检验评定标准及评定方法；数据的修约规则与数理统计方法；路基、路面基层、面层的检测项目、检测方法及评定；地基、桩基、桥梁上部结构的检测项目、常规检测方法及评定。</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通过本课程的学习，要求学生掌握路基、路面、地基、基础、桥梁的质量检测及评定能力，并且具备试验数据分析、处理的能力，要求学生能够达到考取桩基检测证的能力。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w:t>
            </w:r>
          </w:p>
        </w:tc>
        <w:tc>
          <w:tcPr>
            <w:tcW w:w="1110" w:type="dxa"/>
            <w:shd w:val="clear" w:color="auto" w:fill="auto"/>
            <w:vAlign w:val="center"/>
          </w:tcPr>
          <w:p>
            <w:pPr>
              <w:pStyle w:val="15"/>
              <w:contextualSpacing/>
              <w:rPr>
                <w:rFonts w:eastAsia="楷体_GB2312"/>
                <w:color w:val="000000"/>
                <w:kern w:val="0"/>
                <w:szCs w:val="21"/>
              </w:rPr>
            </w:pPr>
            <w:r>
              <w:rPr>
                <w:kern w:val="0"/>
                <w:szCs w:val="21"/>
              </w:rPr>
              <w:t>公路施工组织与概预算</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本课程主要学习公路施工组织的基本原则和方法、公路施工组织的基本原理和方法、网络计划技术、公路施工组织设计、公路工程定额的分类及简单应用以及公路工程概预算的编制。</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应用所学的工程施工管理基本知识，具备编制工程施工组织设计及概预算的能力，达到预算员资格证书的考核要求。培养学生分析、解决问题的能力；同时培养学生吃苦耐劳，严谨协作的职业品格和职业素质，为后从公路桥梁施工和监理工作所需的方法能力和社会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6</w:t>
            </w:r>
          </w:p>
        </w:tc>
        <w:tc>
          <w:tcPr>
            <w:tcW w:w="1110" w:type="dxa"/>
            <w:shd w:val="clear" w:color="auto" w:fill="auto"/>
            <w:vAlign w:val="center"/>
          </w:tcPr>
          <w:p>
            <w:pPr>
              <w:pStyle w:val="15"/>
              <w:contextualSpacing/>
              <w:rPr>
                <w:rFonts w:eastAsia="楷体_GB2312"/>
                <w:color w:val="000000"/>
                <w:kern w:val="0"/>
                <w:szCs w:val="21"/>
              </w:rPr>
            </w:pPr>
            <w:r>
              <w:rPr>
                <w:kern w:val="0"/>
                <w:szCs w:val="21"/>
              </w:rPr>
              <w:t>墩台基础工程</w:t>
            </w:r>
          </w:p>
        </w:tc>
        <w:tc>
          <w:tcPr>
            <w:tcW w:w="6420" w:type="dxa"/>
            <w:shd w:val="clear" w:color="auto" w:fill="auto"/>
            <w:vAlign w:val="center"/>
          </w:tcPr>
          <w:p>
            <w:pPr>
              <w:ind w:firstLine="422" w:firstLineChars="200"/>
              <w:rPr>
                <w:rFonts w:ascii="Calibri" w:hAnsi="Calibri"/>
                <w:szCs w:val="22"/>
              </w:rPr>
            </w:pPr>
            <w:r>
              <w:rPr>
                <w:rFonts w:hint="eastAsia" w:ascii="Calibri" w:hAnsi="Calibri"/>
                <w:b/>
                <w:szCs w:val="22"/>
              </w:rPr>
              <w:t>教学内容：</w:t>
            </w:r>
            <w:r>
              <w:rPr>
                <w:rFonts w:hint="eastAsia" w:ascii="Calibri" w:hAnsi="Calibri"/>
                <w:szCs w:val="22"/>
              </w:rPr>
              <w:t>本课程主要学习桥梁工程下部结构中涉及的设计、验算，尤其针对常用墩台、桩基等下部结构的结构形式、基本特点及构造特征进行教学。学习常用墩台基础工程的常用类型、构造要求及计算等。</w:t>
            </w:r>
          </w:p>
          <w:p>
            <w:pPr>
              <w:ind w:firstLine="422" w:firstLineChars="200"/>
              <w:rPr>
                <w:rFonts w:ascii="Calibri" w:hAnsi="Calibri"/>
                <w:szCs w:val="22"/>
              </w:rPr>
            </w:pPr>
            <w:r>
              <w:rPr>
                <w:rFonts w:hint="eastAsia" w:ascii="Calibri" w:hAnsi="Calibri"/>
                <w:b/>
                <w:szCs w:val="22"/>
              </w:rPr>
              <w:t>教学要求：</w:t>
            </w:r>
            <w:r>
              <w:rPr>
                <w:rFonts w:hint="eastAsia" w:ascii="Calibri" w:hAnsi="Calibri"/>
                <w:szCs w:val="22"/>
              </w:rPr>
              <w:t>通过本课程的学习，使学生能区分常见桥梁墩台及基础的类型，常用的基础的验算及计算内容。掌握浅基础及常见桩基础的结构计算及验算，具有常见浅基础、桩基础的计算及验算能力。</w:t>
            </w:r>
          </w:p>
        </w:tc>
        <w:tc>
          <w:tcPr>
            <w:tcW w:w="556"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7</w:t>
            </w:r>
          </w:p>
        </w:tc>
        <w:tc>
          <w:tcPr>
            <w:tcW w:w="1110" w:type="dxa"/>
            <w:shd w:val="clear" w:color="auto" w:fill="auto"/>
            <w:vAlign w:val="center"/>
          </w:tcPr>
          <w:p>
            <w:pPr>
              <w:pStyle w:val="15"/>
              <w:contextualSpacing/>
              <w:rPr>
                <w:rFonts w:eastAsia="楷体_GB2312"/>
                <w:color w:val="000000"/>
                <w:kern w:val="0"/>
                <w:szCs w:val="21"/>
              </w:rPr>
            </w:pPr>
            <w:r>
              <w:rPr>
                <w:kern w:val="0"/>
                <w:szCs w:val="21"/>
              </w:rPr>
              <w:t>城市道路规划与设计</w:t>
            </w:r>
          </w:p>
        </w:tc>
        <w:tc>
          <w:tcPr>
            <w:tcW w:w="642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本课程是交通工程专业的一门专业必修课。学习本课程要求了解城市道路的交通特点和城市道路横、纵断面、交叉口及线形设计的理论和特点。</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学习使学生掌握城市道路的横、纵断面、道路线形、平面交叉、立体交叉、排水等方面的设计理论和方法；同时对城市道路建设的方针、政策、交通规划、道路路网规划、红线宽度设计、交通量估算、通行能力、道路排水设计、道路公用设施设计等方面有一定的了解，从而使学生具有规划、设计城市道路的基本能力。</w:t>
            </w:r>
          </w:p>
        </w:tc>
        <w:tc>
          <w:tcPr>
            <w:tcW w:w="556" w:type="dxa"/>
            <w:shd w:val="clear" w:color="auto" w:fill="auto"/>
            <w:vAlign w:val="center"/>
          </w:tcPr>
          <w:p>
            <w:pPr>
              <w:pStyle w:val="15"/>
              <w:contextualSpacing/>
              <w:jc w:val="center"/>
              <w:rPr>
                <w:rFonts w:eastAsia="楷体_GB2312"/>
                <w:color w:val="000000"/>
                <w:kern w:val="0"/>
                <w:szCs w:val="21"/>
              </w:rPr>
            </w:pPr>
            <w:r>
              <w:rPr>
                <w:rFonts w:hint="eastAsia" w:ascii="Times New Roman" w:hAnsi="Times New Roman" w:eastAsia="楷体_GB2312"/>
                <w:color w:val="000000"/>
                <w:szCs w:val="21"/>
              </w:rPr>
              <w:t>4</w:t>
            </w:r>
            <w:r>
              <w:rPr>
                <w:rFonts w:ascii="Times New Roman" w:hAnsi="Times New Roman" w:eastAsia="楷体_GB2312"/>
                <w:color w:val="000000"/>
                <w:szCs w:val="21"/>
              </w:rPr>
              <w:t>8</w:t>
            </w:r>
          </w:p>
        </w:tc>
      </w:tr>
    </w:tbl>
    <w:p>
      <w:pPr>
        <w:numPr>
          <w:ilvl w:val="0"/>
          <w:numId w:val="0"/>
        </w:numPr>
        <w:spacing w:line="360" w:lineRule="auto"/>
        <w:ind w:left="482" w:leftChars="0"/>
        <w:contextualSpacing/>
        <w:outlineLvl w:val="2"/>
        <w:rPr>
          <w:rFonts w:hint="eastAsia"/>
          <w:b/>
          <w:sz w:val="28"/>
          <w:szCs w:val="28"/>
          <w:lang w:val="en-US" w:eastAsia="zh-CN"/>
        </w:rPr>
      </w:pPr>
      <w:r>
        <w:rPr>
          <w:rFonts w:hint="eastAsia"/>
          <w:b/>
          <w:sz w:val="28"/>
          <w:szCs w:val="28"/>
          <w:lang w:eastAsia="zh-CN"/>
        </w:rPr>
        <w:t>（</w:t>
      </w:r>
      <w:r>
        <w:rPr>
          <w:rFonts w:hint="eastAsia"/>
          <w:b/>
          <w:sz w:val="28"/>
          <w:szCs w:val="28"/>
          <w:lang w:val="en-US" w:eastAsia="zh-CN"/>
        </w:rPr>
        <w:t>五</w:t>
      </w:r>
      <w:r>
        <w:rPr>
          <w:rFonts w:hint="eastAsia"/>
          <w:b/>
          <w:sz w:val="28"/>
          <w:szCs w:val="28"/>
          <w:lang w:eastAsia="zh-CN"/>
        </w:rPr>
        <w:t>）</w:t>
      </w:r>
      <w:r>
        <w:rPr>
          <w:rFonts w:hint="eastAsia"/>
          <w:b/>
          <w:sz w:val="28"/>
          <w:szCs w:val="28"/>
          <w:lang w:val="en-US" w:eastAsia="zh-CN"/>
        </w:rPr>
        <w:t>选修课程</w:t>
      </w:r>
    </w:p>
    <w:p>
      <w:pPr>
        <w:spacing w:line="360" w:lineRule="auto"/>
        <w:ind w:firstLine="480" w:firstLineChars="200"/>
        <w:rPr>
          <w:sz w:val="24"/>
        </w:rPr>
      </w:pPr>
      <w:r>
        <w:rPr>
          <w:sz w:val="24"/>
        </w:rPr>
        <w:t>选修课程包括任选课与限选课两类。任选课要求学生从学校公布的艺术类课程、学院公布的课程中任选至少</w:t>
      </w:r>
      <w:r>
        <w:rPr>
          <w:rFonts w:ascii="Times New Roman" w:hAnsi="Times New Roman"/>
          <w:sz w:val="24"/>
        </w:rPr>
        <w:t>2</w:t>
      </w:r>
      <w:r>
        <w:rPr>
          <w:sz w:val="24"/>
        </w:rPr>
        <w:t>门，至少修满</w:t>
      </w:r>
      <w:r>
        <w:rPr>
          <w:rFonts w:ascii="Times New Roman" w:hAnsi="Times New Roman"/>
          <w:sz w:val="24"/>
        </w:rPr>
        <w:t>4</w:t>
      </w:r>
      <w:r>
        <w:rPr>
          <w:sz w:val="24"/>
        </w:rPr>
        <w:t>学分，</w:t>
      </w:r>
      <w:r>
        <w:rPr>
          <w:rFonts w:ascii="Times New Roman" w:hAnsi="Times New Roman"/>
          <w:sz w:val="24"/>
        </w:rPr>
        <w:t>64</w:t>
      </w:r>
      <w:r>
        <w:rPr>
          <w:sz w:val="24"/>
        </w:rPr>
        <w:t>课时。</w:t>
      </w:r>
    </w:p>
    <w:p>
      <w:pPr>
        <w:spacing w:line="360" w:lineRule="auto"/>
        <w:ind w:firstLine="480" w:firstLineChars="200"/>
        <w:rPr>
          <w:sz w:val="24"/>
        </w:rPr>
      </w:pPr>
      <w:r>
        <w:rPr>
          <w:sz w:val="24"/>
        </w:rPr>
        <w:t>限选课程包括校内课程与企业课程两种。其中校内限选课包括</w:t>
      </w:r>
      <w:r>
        <w:rPr>
          <w:rFonts w:ascii="Times New Roman" w:hAnsi="Times New Roman"/>
          <w:sz w:val="24"/>
        </w:rPr>
        <w:t>BIM</w:t>
      </w:r>
      <w:r>
        <w:rPr>
          <w:sz w:val="24"/>
        </w:rPr>
        <w:t>技术、智慧交通建设与养护、施工机械使用与保养、施工机电、专业英语、施工安全管理、钢结构、工程招投标与合同管理、公路工程资料填写与归档管理、工程地质与水文、轨道工程概论、监理概论、工程经济分析、公路工程计量与计价、交通工程概论、地下与隧道施工技术、预应力技术等课程，学生应从中选修</w:t>
      </w:r>
      <w:r>
        <w:rPr>
          <w:rFonts w:ascii="Times New Roman" w:hAnsi="Times New Roman"/>
          <w:sz w:val="24"/>
        </w:rPr>
        <w:t>7</w:t>
      </w:r>
      <w:r>
        <w:rPr>
          <w:sz w:val="24"/>
        </w:rPr>
        <w:t>门课程，修满</w:t>
      </w:r>
      <w:r>
        <w:rPr>
          <w:rFonts w:ascii="Times New Roman" w:hAnsi="Times New Roman"/>
          <w:sz w:val="24"/>
        </w:rPr>
        <w:t>15</w:t>
      </w:r>
      <w:r>
        <w:rPr>
          <w:sz w:val="24"/>
        </w:rPr>
        <w:t>学分，部分课程内容介绍如下。</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1116"/>
        <w:gridCol w:w="6450"/>
        <w:gridCol w:w="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序号</w:t>
            </w:r>
          </w:p>
        </w:tc>
        <w:tc>
          <w:tcPr>
            <w:tcW w:w="1116"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课程名称</w:t>
            </w:r>
          </w:p>
        </w:tc>
        <w:tc>
          <w:tcPr>
            <w:tcW w:w="6450" w:type="dxa"/>
            <w:shd w:val="clear" w:color="auto" w:fill="auto"/>
            <w:vAlign w:val="center"/>
          </w:tcPr>
          <w:p>
            <w:pPr>
              <w:pStyle w:val="15"/>
              <w:spacing w:line="360" w:lineRule="auto"/>
              <w:contextualSpacing/>
              <w:jc w:val="center"/>
              <w:rPr>
                <w:b/>
                <w:color w:val="000000"/>
                <w:kern w:val="0"/>
                <w:szCs w:val="21"/>
              </w:rPr>
            </w:pPr>
            <w:r>
              <w:rPr>
                <w:b/>
                <w:color w:val="000000"/>
                <w:kern w:val="0"/>
                <w:szCs w:val="21"/>
              </w:rPr>
              <w:t>主要教学内容及要求</w:t>
            </w:r>
          </w:p>
        </w:tc>
        <w:tc>
          <w:tcPr>
            <w:tcW w:w="53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1</w:t>
            </w:r>
          </w:p>
        </w:tc>
        <w:tc>
          <w:tcPr>
            <w:tcW w:w="1116" w:type="dxa"/>
            <w:shd w:val="clear" w:color="auto" w:fill="auto"/>
            <w:vAlign w:val="center"/>
          </w:tcPr>
          <w:p>
            <w:pPr>
              <w:pStyle w:val="15"/>
              <w:contextualSpacing/>
              <w:rPr>
                <w:color w:val="000000"/>
                <w:kern w:val="0"/>
                <w:szCs w:val="21"/>
              </w:rPr>
            </w:pPr>
            <w:r>
              <w:rPr>
                <w:rFonts w:ascii="Times New Roman" w:hAnsi="Times New Roman"/>
                <w:color w:val="000000"/>
                <w:kern w:val="0"/>
                <w:szCs w:val="21"/>
              </w:rPr>
              <w:t>BIM</w:t>
            </w:r>
            <w:r>
              <w:rPr>
                <w:color w:val="000000"/>
                <w:kern w:val="0"/>
                <w:szCs w:val="21"/>
              </w:rPr>
              <w:t>技术</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本课程主要学习道路与桥梁工程的</w:t>
            </w:r>
            <w:r>
              <w:rPr>
                <w:rFonts w:ascii="Times New Roman" w:hAnsi="Times New Roman"/>
                <w:color w:val="000000"/>
                <w:kern w:val="0"/>
                <w:szCs w:val="21"/>
              </w:rPr>
              <w:t>BIM</w:t>
            </w:r>
            <w:r>
              <w:rPr>
                <w:color w:val="000000"/>
                <w:kern w:val="0"/>
                <w:szCs w:val="21"/>
              </w:rPr>
              <w:t>设计理念及技术原理，介绍</w:t>
            </w:r>
            <w:r>
              <w:rPr>
                <w:rFonts w:ascii="Times New Roman" w:hAnsi="Times New Roman"/>
                <w:color w:val="000000"/>
                <w:kern w:val="0"/>
                <w:szCs w:val="21"/>
              </w:rPr>
              <w:t>BIM</w:t>
            </w:r>
            <w:r>
              <w:rPr>
                <w:color w:val="000000"/>
                <w:kern w:val="0"/>
                <w:szCs w:val="21"/>
              </w:rPr>
              <w:t>软件的使用方法、信息模型的建立技术手段等。</w:t>
            </w:r>
          </w:p>
          <w:p>
            <w:pPr>
              <w:pStyle w:val="15"/>
              <w:ind w:firstLine="422" w:firstLineChars="200"/>
              <w:contextualSpacing/>
              <w:rPr>
                <w:color w:val="000000"/>
                <w:kern w:val="0"/>
                <w:szCs w:val="21"/>
              </w:rPr>
            </w:pPr>
            <w:r>
              <w:rPr>
                <w:b/>
                <w:bCs/>
                <w:color w:val="000000"/>
                <w:szCs w:val="21"/>
              </w:rPr>
              <w:t>教学要求</w:t>
            </w:r>
            <w:r>
              <w:rPr>
                <w:color w:val="000000"/>
                <w:szCs w:val="21"/>
              </w:rPr>
              <w:t>：</w:t>
            </w:r>
            <w:r>
              <w:rPr>
                <w:szCs w:val="21"/>
              </w:rPr>
              <w:t>通过本课程的学习，使学生</w:t>
            </w:r>
            <w:r>
              <w:rPr>
                <w:color w:val="000000"/>
                <w:kern w:val="0"/>
                <w:szCs w:val="21"/>
              </w:rPr>
              <w:t>了解</w:t>
            </w:r>
            <w:r>
              <w:rPr>
                <w:rFonts w:ascii="Times New Roman" w:hAnsi="Times New Roman"/>
                <w:color w:val="000000"/>
                <w:kern w:val="0"/>
                <w:szCs w:val="21"/>
              </w:rPr>
              <w:t>BIM</w:t>
            </w:r>
            <w:r>
              <w:rPr>
                <w:color w:val="000000"/>
                <w:kern w:val="0"/>
                <w:szCs w:val="21"/>
              </w:rPr>
              <w:t>技术在国内外的应用状况以及</w:t>
            </w:r>
            <w:r>
              <w:rPr>
                <w:rFonts w:ascii="Times New Roman" w:hAnsi="Times New Roman"/>
                <w:color w:val="000000"/>
                <w:kern w:val="0"/>
                <w:szCs w:val="21"/>
              </w:rPr>
              <w:t>BIM</w:t>
            </w:r>
            <w:r>
              <w:rPr>
                <w:color w:val="000000"/>
                <w:kern w:val="0"/>
                <w:szCs w:val="21"/>
              </w:rPr>
              <w:t>在本专业中的地位与作用；了解</w:t>
            </w:r>
            <w:r>
              <w:rPr>
                <w:rFonts w:ascii="Times New Roman" w:hAnsi="Times New Roman"/>
                <w:color w:val="000000"/>
                <w:kern w:val="0"/>
                <w:szCs w:val="21"/>
              </w:rPr>
              <w:t>BIM</w:t>
            </w:r>
            <w:r>
              <w:rPr>
                <w:color w:val="000000"/>
                <w:kern w:val="0"/>
                <w:szCs w:val="21"/>
              </w:rPr>
              <w:t>系统的硬件要求及相关软件的类别、特点、内容；掌握</w:t>
            </w:r>
            <w:r>
              <w:rPr>
                <w:rFonts w:ascii="Times New Roman" w:hAnsi="Times New Roman"/>
                <w:color w:val="000000"/>
                <w:kern w:val="0"/>
                <w:szCs w:val="21"/>
              </w:rPr>
              <w:t>BIM</w:t>
            </w:r>
            <w:r>
              <w:rPr>
                <w:color w:val="000000"/>
                <w:kern w:val="0"/>
                <w:szCs w:val="21"/>
              </w:rPr>
              <w:t>典型软件的基础命令操作；掌握运用</w:t>
            </w:r>
            <w:r>
              <w:rPr>
                <w:rFonts w:hint="eastAsia" w:ascii="Times New Roman" w:hAnsi="Times New Roman"/>
                <w:color w:val="000000"/>
                <w:kern w:val="0"/>
                <w:szCs w:val="21"/>
                <w:lang w:val="en-US" w:eastAsia="zh-CN"/>
              </w:rPr>
              <w:t>BIM</w:t>
            </w:r>
            <w:r>
              <w:rPr>
                <w:color w:val="000000"/>
                <w:kern w:val="0"/>
                <w:szCs w:val="21"/>
              </w:rPr>
              <w:t>软件建立路桥隧模型、港航模型、结构模型以及处理地形模型；了解</w:t>
            </w:r>
            <w:r>
              <w:rPr>
                <w:rFonts w:ascii="Times New Roman" w:hAnsi="Times New Roman"/>
                <w:color w:val="000000"/>
                <w:kern w:val="0"/>
                <w:szCs w:val="21"/>
              </w:rPr>
              <w:t>BIM</w:t>
            </w:r>
            <w:r>
              <w:rPr>
                <w:color w:val="000000"/>
                <w:kern w:val="0"/>
                <w:szCs w:val="21"/>
              </w:rPr>
              <w:t>在工程项目建设全生命周期中的应用技术；具备运用</w:t>
            </w:r>
            <w:r>
              <w:rPr>
                <w:rFonts w:hint="eastAsia" w:ascii="Times New Roman" w:hAnsi="Times New Roman"/>
                <w:color w:val="000000"/>
                <w:kern w:val="0"/>
                <w:szCs w:val="21"/>
                <w:lang w:val="en-US" w:eastAsia="zh-CN"/>
              </w:rPr>
              <w:t>BIM</w:t>
            </w:r>
            <w:r>
              <w:rPr>
                <w:color w:val="000000"/>
                <w:kern w:val="0"/>
                <w:szCs w:val="21"/>
              </w:rPr>
              <w:t>系列软件初步进行交通土建工程设计、施工控制、运营维护的能力。为今后学生运用</w:t>
            </w:r>
            <w:r>
              <w:rPr>
                <w:rFonts w:ascii="Times New Roman" w:hAnsi="Times New Roman"/>
                <w:color w:val="000000"/>
                <w:kern w:val="0"/>
                <w:szCs w:val="21"/>
              </w:rPr>
              <w:t>BIM</w:t>
            </w:r>
            <w:r>
              <w:rPr>
                <w:color w:val="000000"/>
                <w:kern w:val="0"/>
                <w:szCs w:val="21"/>
              </w:rPr>
              <w:t>技术从事本专业相关工作打下坚实的基础。</w:t>
            </w:r>
          </w:p>
        </w:tc>
        <w:tc>
          <w:tcPr>
            <w:tcW w:w="535" w:type="dxa"/>
            <w:shd w:val="clear" w:color="auto" w:fill="auto"/>
            <w:vAlign w:val="center"/>
          </w:tcPr>
          <w:p>
            <w:pPr>
              <w:pStyle w:val="15"/>
              <w:contextualSpacing/>
              <w:jc w:val="center"/>
              <w:rPr>
                <w:color w:val="000000"/>
                <w:kern w:val="0"/>
                <w:szCs w:val="21"/>
              </w:rPr>
            </w:pPr>
            <w:r>
              <w:rPr>
                <w:rFonts w:hint="eastAsia" w:ascii="Times New Roman" w:hAnsi="Times New Roman"/>
                <w:color w:val="000000"/>
                <w:szCs w:val="21"/>
              </w:rPr>
              <w:t>4</w:t>
            </w:r>
            <w:r>
              <w:rPr>
                <w:rFonts w:ascii="Times New Roman" w:hAnsi="Times New Roman"/>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2</w:t>
            </w:r>
          </w:p>
        </w:tc>
        <w:tc>
          <w:tcPr>
            <w:tcW w:w="1116" w:type="dxa"/>
            <w:shd w:val="clear" w:color="auto" w:fill="auto"/>
            <w:vAlign w:val="center"/>
          </w:tcPr>
          <w:p>
            <w:pPr>
              <w:pStyle w:val="15"/>
              <w:contextualSpacing/>
              <w:rPr>
                <w:color w:val="000000"/>
                <w:kern w:val="0"/>
                <w:szCs w:val="21"/>
              </w:rPr>
            </w:pPr>
            <w:r>
              <w:rPr>
                <w:color w:val="000000"/>
                <w:kern w:val="0"/>
                <w:szCs w:val="21"/>
              </w:rPr>
              <w:t>智慧交通建设与养护</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本课程主要学习交通基础设施建设过程中智能设计、智能施工、智慧养护新技术的发展与应用。主要介绍信息化技术、互联网技术、大数据技术、人工智能技术与交通基础设施建设过程的交叉融合应用。</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通过本课程的学习，使学生能够了解交通基础设施最新、最前沿的技术，以及信息化技术应用于交通建设与养护，以及技术发展的趋势。</w:t>
            </w:r>
          </w:p>
        </w:tc>
        <w:tc>
          <w:tcPr>
            <w:tcW w:w="535" w:type="dxa"/>
            <w:shd w:val="clear" w:color="auto" w:fill="auto"/>
            <w:vAlign w:val="center"/>
          </w:tcPr>
          <w:p>
            <w:pPr>
              <w:pStyle w:val="15"/>
              <w:contextualSpacing/>
              <w:jc w:val="center"/>
              <w:rPr>
                <w:szCs w:val="21"/>
              </w:rPr>
            </w:pPr>
            <w:r>
              <w:rPr>
                <w:rFonts w:ascii="Times New Roman" w:hAnsi="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3</w:t>
            </w:r>
          </w:p>
        </w:tc>
        <w:tc>
          <w:tcPr>
            <w:tcW w:w="1116" w:type="dxa"/>
            <w:shd w:val="clear" w:color="auto" w:fill="auto"/>
            <w:vAlign w:val="center"/>
          </w:tcPr>
          <w:p>
            <w:pPr>
              <w:pStyle w:val="15"/>
              <w:contextualSpacing/>
              <w:rPr>
                <w:color w:val="000000"/>
                <w:kern w:val="0"/>
                <w:szCs w:val="21"/>
              </w:rPr>
            </w:pPr>
            <w:r>
              <w:rPr>
                <w:color w:val="000000"/>
                <w:kern w:val="0"/>
                <w:szCs w:val="21"/>
              </w:rPr>
              <w:t>施工机械使用与保养</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本课程主要学习常见公路工程机械设备的基本概念、基本原理、基本组成及其工作过程和施工方法；机械型号的选用及机械的配置；以及机械技术管理的一些基本知识。</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够根据实际情况选用机械；懂机械的工作过程和施工方法；能对机械进行基本的养护和管理。以进一步提高公路施工机械化水平，提高生产效率，改善劳动条件，保证工程质量，为今后走上工作岗位打下必要的基础。</w:t>
            </w:r>
          </w:p>
        </w:tc>
        <w:tc>
          <w:tcPr>
            <w:tcW w:w="535" w:type="dxa"/>
            <w:shd w:val="clear" w:color="auto" w:fill="auto"/>
            <w:vAlign w:val="center"/>
          </w:tcPr>
          <w:p>
            <w:pPr>
              <w:pStyle w:val="15"/>
              <w:contextualSpacing/>
              <w:jc w:val="center"/>
              <w:rPr>
                <w:szCs w:val="21"/>
              </w:rPr>
            </w:pPr>
            <w:r>
              <w:rPr>
                <w:rFonts w:ascii="Times New Roman" w:hAnsi="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4</w:t>
            </w:r>
          </w:p>
        </w:tc>
        <w:tc>
          <w:tcPr>
            <w:tcW w:w="1116" w:type="dxa"/>
            <w:shd w:val="clear" w:color="auto" w:fill="auto"/>
            <w:vAlign w:val="center"/>
          </w:tcPr>
          <w:p>
            <w:pPr>
              <w:pStyle w:val="15"/>
              <w:contextualSpacing/>
              <w:rPr>
                <w:color w:val="000000"/>
                <w:kern w:val="0"/>
                <w:szCs w:val="21"/>
              </w:rPr>
            </w:pPr>
            <w:r>
              <w:rPr>
                <w:color w:val="000000"/>
                <w:kern w:val="0"/>
                <w:szCs w:val="21"/>
              </w:rPr>
              <w:t>专业英语</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是路桥工程类专业的一门选修课，主要学习路桥专业英语，包括路桥行业常用词汇、常用语句、路桥发展历史、路桥新技术和发展方向等；讲授路桥行业英语口语交流技巧、英文文献查阅技巧，帮助学生在提高英语听说读写能力的同时开拓视野。</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初步具有查阅工程英文资料并进行简单技术交流的能力，让学生能够有效利用英语这一工具了解本行业国外先进动态，解放思想、开拓视野，在工作需要时能进行英语交流，成为全面发展的</w:t>
            </w:r>
            <w:r>
              <w:rPr>
                <w:rFonts w:hint="eastAsia"/>
                <w:color w:val="000000"/>
                <w:kern w:val="0"/>
                <w:szCs w:val="21"/>
                <w:lang w:val="en-US" w:eastAsia="zh-CN"/>
              </w:rPr>
              <w:t>高端复合型技术</w:t>
            </w:r>
            <w:bookmarkStart w:id="0" w:name="_GoBack"/>
            <w:bookmarkEnd w:id="0"/>
            <w:r>
              <w:rPr>
                <w:color w:val="000000"/>
                <w:kern w:val="0"/>
                <w:szCs w:val="21"/>
              </w:rPr>
              <w:t>技能型人才。</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5</w:t>
            </w:r>
          </w:p>
        </w:tc>
        <w:tc>
          <w:tcPr>
            <w:tcW w:w="1116" w:type="dxa"/>
            <w:shd w:val="clear" w:color="auto" w:fill="auto"/>
            <w:vAlign w:val="center"/>
          </w:tcPr>
          <w:p>
            <w:pPr>
              <w:pStyle w:val="15"/>
              <w:contextualSpacing/>
              <w:rPr>
                <w:color w:val="000000"/>
                <w:kern w:val="0"/>
                <w:szCs w:val="21"/>
              </w:rPr>
            </w:pPr>
            <w:r>
              <w:rPr>
                <w:color w:val="000000"/>
                <w:kern w:val="0"/>
                <w:szCs w:val="21"/>
              </w:rPr>
              <w:t>工程招投标与合同管理</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本课程主要学习合同法律制度；工程项目招标；工程施工投标；施工项目投标报价；施工合同的签订与审查；施工合同管理。</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通过本课程的学习，使学生能编制公路工程招投标文件；具有施工项目投标报价的能力；会公路工程项目招投标工作；会签订、审查与管理施工合同。</w:t>
            </w:r>
          </w:p>
        </w:tc>
        <w:tc>
          <w:tcPr>
            <w:tcW w:w="535" w:type="dxa"/>
            <w:shd w:val="clear" w:color="auto" w:fill="auto"/>
            <w:vAlign w:val="center"/>
          </w:tcPr>
          <w:p>
            <w:pPr>
              <w:pStyle w:val="15"/>
              <w:contextualSpacing/>
              <w:jc w:val="center"/>
              <w:rPr>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6</w:t>
            </w:r>
          </w:p>
        </w:tc>
        <w:tc>
          <w:tcPr>
            <w:tcW w:w="1116" w:type="dxa"/>
            <w:shd w:val="clear" w:color="auto" w:fill="auto"/>
            <w:vAlign w:val="center"/>
          </w:tcPr>
          <w:p>
            <w:pPr>
              <w:pStyle w:val="15"/>
              <w:contextualSpacing/>
              <w:rPr>
                <w:color w:val="000000"/>
                <w:kern w:val="0"/>
                <w:szCs w:val="21"/>
              </w:rPr>
            </w:pPr>
            <w:r>
              <w:rPr>
                <w:color w:val="000000"/>
                <w:kern w:val="0"/>
                <w:szCs w:val="21"/>
              </w:rPr>
              <w:t>钢结构</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本课程主要内容包括：钢结构的特点、应用和材料性能，各类构件的受力性能、强度、稳定性、刚度计算和截面设计方法，常见连接的受力性能及设计方法，钢整体结构的分析方法。</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熟悉钢结构的特点、应用及破坏形式，掌握钢结构材料的基本力学性能，具备对钢结构材料与构件的认知能力；熟悉各类钢结构构件及连接的受力性能，掌握构件及连接的设计方法，具备针对具体构件及连接设计和校核的实践应用能力，并能通过工程语言正确表达设计意图。</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7</w:t>
            </w:r>
          </w:p>
        </w:tc>
        <w:tc>
          <w:tcPr>
            <w:tcW w:w="1116" w:type="dxa"/>
            <w:shd w:val="clear" w:color="auto" w:fill="auto"/>
            <w:vAlign w:val="center"/>
          </w:tcPr>
          <w:p>
            <w:pPr>
              <w:pStyle w:val="15"/>
              <w:contextualSpacing/>
              <w:rPr>
                <w:color w:val="000000"/>
                <w:kern w:val="0"/>
                <w:szCs w:val="21"/>
              </w:rPr>
            </w:pPr>
            <w:r>
              <w:rPr>
                <w:color w:val="000000"/>
                <w:kern w:val="0"/>
                <w:szCs w:val="21"/>
              </w:rPr>
              <w:t>工程地质与水文</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岩石性质评价、地质构造条件评价、地貌与物理地质现象评价、水文地质条件评价、工程地质问题与勘察、水力水文计算、内河桥设计流量、大中桥孔径与桥下冲刷计算等基本知识、基本理论、基本技能和方法。</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培养学生在路桥工程中能从技术的角度去认识和解决有关工程地质方面的问题和进行水文计算。使学生能够正确、熟练地掌握运用有关地质、水文方面的资料、图件，并结合不同的工程环境对建筑场地的工程地质条件、工程地质问题和水文现象进行初步评价和水文计算。</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8</w:t>
            </w:r>
          </w:p>
        </w:tc>
        <w:tc>
          <w:tcPr>
            <w:tcW w:w="1116" w:type="dxa"/>
            <w:shd w:val="clear" w:color="auto" w:fill="auto"/>
            <w:vAlign w:val="center"/>
          </w:tcPr>
          <w:p>
            <w:pPr>
              <w:pStyle w:val="15"/>
              <w:contextualSpacing/>
              <w:rPr>
                <w:color w:val="000000"/>
                <w:kern w:val="0"/>
                <w:szCs w:val="21"/>
              </w:rPr>
            </w:pPr>
            <w:r>
              <w:rPr>
                <w:color w:val="000000"/>
                <w:kern w:val="0"/>
                <w:szCs w:val="21"/>
              </w:rPr>
              <w:t>轨道工程概论</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城市轨道交通，城际高速铁路，城市现代有轨电车等轨道交通的发展历程与发展趋势；铁路等级的划分；轨道交通车辆设备和安全运行的组织方式；地铁、轻轨、磁悬浮、独轨、市郊铁路等城市轨道交通的类型；轨道交通线路组成及各组成部分的作用；列车运行所受的阻力及牵引质量；有砟轨道结构的组成；城市无砟轨道结构的组成；高速铁路无砟轨道结构的组成等内容。</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让学生能够根据城市既定路网规划合理选用地铁、轻轨和有轨电车等交通方式；会进行铁路等级的识别；会进行列车阻力及牵引能力计算；会分析整体道床、弹性支承块、长枕埋入式、浮置板式等四种城市无砟轨道的优缺点；会分析单元板、纵连板、双块式等三类高速铁路无砟轨道的优缺点；会分析有砟轨道与无砟轨道的优缺点，能够合理选用有砟轨道与无砟轨道。</w:t>
            </w:r>
          </w:p>
        </w:tc>
        <w:tc>
          <w:tcPr>
            <w:tcW w:w="535" w:type="dxa"/>
            <w:shd w:val="clear" w:color="auto" w:fill="auto"/>
            <w:vAlign w:val="center"/>
          </w:tcPr>
          <w:p>
            <w:pPr>
              <w:pStyle w:val="15"/>
              <w:contextualSpacing/>
              <w:jc w:val="center"/>
              <w:rPr>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9</w:t>
            </w:r>
          </w:p>
        </w:tc>
        <w:tc>
          <w:tcPr>
            <w:tcW w:w="1116" w:type="dxa"/>
            <w:shd w:val="clear" w:color="auto" w:fill="auto"/>
            <w:vAlign w:val="center"/>
          </w:tcPr>
          <w:p>
            <w:pPr>
              <w:pStyle w:val="15"/>
              <w:contextualSpacing/>
              <w:rPr>
                <w:color w:val="000000"/>
                <w:kern w:val="0"/>
                <w:szCs w:val="21"/>
              </w:rPr>
            </w:pPr>
            <w:r>
              <w:rPr>
                <w:color w:val="000000"/>
                <w:kern w:val="0"/>
                <w:szCs w:val="21"/>
              </w:rPr>
              <w:t>工程经济分析</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本课程主要学习公路工程经济的基本知识，包括公路工程建设任务、公路工程建设成就、公路工程经济发展历史的学习；公路工程经济基本原理；公路工程项目经济评价等知识。</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学习，使学生掌握公路工程经济评价的基本原理方法，并掌握经济评价的基本方法步骤；熟练运用公路工程经济评价的方法原理对公路工程建设项目方案进行经济评价；掌握公路工程经济评价方法及其在实践中的应用。掌握运用工程经济分析的方法处理公路工程评价的能力，实现理论向实践的飞跃，提高学生的职业能力与职业素质。</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10</w:t>
            </w:r>
          </w:p>
        </w:tc>
        <w:tc>
          <w:tcPr>
            <w:tcW w:w="1116" w:type="dxa"/>
            <w:shd w:val="clear" w:color="auto" w:fill="auto"/>
            <w:vAlign w:val="center"/>
          </w:tcPr>
          <w:p>
            <w:pPr>
              <w:pStyle w:val="15"/>
              <w:contextualSpacing/>
              <w:rPr>
                <w:color w:val="000000"/>
                <w:kern w:val="0"/>
                <w:szCs w:val="21"/>
              </w:rPr>
            </w:pPr>
            <w:r>
              <w:rPr>
                <w:color w:val="000000"/>
                <w:kern w:val="0"/>
                <w:szCs w:val="21"/>
              </w:rPr>
              <w:t>交通工程概论</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本课程学习交通工程学的概念，交通问题及交通特性分析，交通调查的基本方法，交通流理论及通行能力分析，交通规划方法基本方法，交通安全与交通管理方法等知识。</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通过该课程学习，要求学生了解交通工程学习内容和研究方向，掌握交通特性、交通调查、交通规划等方面的基本知识和方法，具有交通工程设计和交通系统开发的初步能力。</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11</w:t>
            </w:r>
          </w:p>
        </w:tc>
        <w:tc>
          <w:tcPr>
            <w:tcW w:w="1116" w:type="dxa"/>
            <w:shd w:val="clear" w:color="auto" w:fill="auto"/>
            <w:vAlign w:val="center"/>
          </w:tcPr>
          <w:p>
            <w:pPr>
              <w:pStyle w:val="15"/>
              <w:contextualSpacing/>
              <w:rPr>
                <w:color w:val="000000"/>
                <w:kern w:val="0"/>
                <w:szCs w:val="21"/>
              </w:rPr>
            </w:pPr>
            <w:r>
              <w:rPr>
                <w:color w:val="000000"/>
                <w:kern w:val="0"/>
                <w:szCs w:val="21"/>
              </w:rPr>
              <w:t>地下与隧道施工技术</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学习隧道设计与施工的理论、方法与相关知识。学习判断围岩稳定性的分析方法，学会围岩分级，描述围岩压力的特性；学习隧道勘测设计的原理和技能；学习隧道各种施工方法的特点，具备施工管理的基本技能。</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通过本课程的学习，使学生具备从事与隧道工程有关的技术工作的基本能力。具备隧道结构设计的基本能力；具备隧道工程勘测、选择隧道洞口位置的能力；具备使用隧道常用施工方法的能力。</w:t>
            </w:r>
          </w:p>
        </w:tc>
        <w:tc>
          <w:tcPr>
            <w:tcW w:w="535" w:type="dxa"/>
            <w:shd w:val="clear" w:color="auto" w:fill="auto"/>
            <w:vAlign w:val="center"/>
          </w:tcPr>
          <w:p>
            <w:pPr>
              <w:pStyle w:val="15"/>
              <w:contextualSpacing/>
              <w:jc w:val="center"/>
              <w:rPr>
                <w:color w:val="000000"/>
                <w:kern w:val="0"/>
                <w:szCs w:val="21"/>
              </w:rPr>
            </w:pPr>
            <w:r>
              <w:rPr>
                <w:rFonts w:ascii="Times New Roman" w:hAnsi="Times New Roman"/>
                <w:color w:val="000000"/>
                <w:kern w:val="0"/>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hint="default" w:eastAsia="楷体_GB2312"/>
                <w:color w:val="000000"/>
                <w:kern w:val="0"/>
                <w:szCs w:val="21"/>
                <w:lang w:val="en-US" w:eastAsia="zh-CN"/>
              </w:rPr>
            </w:pPr>
            <w:r>
              <w:rPr>
                <w:rFonts w:hint="eastAsia" w:ascii="Times New Roman" w:hAnsi="Times New Roman" w:eastAsia="楷体_GB2312"/>
                <w:color w:val="000000"/>
                <w:kern w:val="0"/>
                <w:szCs w:val="21"/>
                <w:lang w:val="en-US" w:eastAsia="zh-CN"/>
              </w:rPr>
              <w:t>12</w:t>
            </w:r>
          </w:p>
        </w:tc>
        <w:tc>
          <w:tcPr>
            <w:tcW w:w="1116" w:type="dxa"/>
            <w:shd w:val="clear" w:color="auto" w:fill="auto"/>
            <w:vAlign w:val="center"/>
          </w:tcPr>
          <w:p>
            <w:pPr>
              <w:pStyle w:val="15"/>
              <w:contextualSpacing/>
              <w:rPr>
                <w:rFonts w:hint="default" w:eastAsia="宋体"/>
                <w:color w:val="000000"/>
                <w:kern w:val="0"/>
                <w:szCs w:val="21"/>
                <w:lang w:val="en-US" w:eastAsia="zh-CN"/>
              </w:rPr>
            </w:pPr>
            <w:r>
              <w:rPr>
                <w:rFonts w:hint="eastAsia"/>
                <w:color w:val="000000"/>
                <w:kern w:val="0"/>
                <w:szCs w:val="21"/>
                <w:lang w:val="en-US" w:eastAsia="zh-CN"/>
              </w:rPr>
              <w:t>新中国史</w:t>
            </w:r>
          </w:p>
        </w:tc>
        <w:tc>
          <w:tcPr>
            <w:tcW w:w="645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教学内容：</w:t>
            </w:r>
            <w:r>
              <w:rPr>
                <w:rFonts w:hint="eastAsia" w:ascii="宋体" w:hAnsi="宋体" w:eastAsia="宋体" w:cs="宋体"/>
                <w:sz w:val="21"/>
                <w:szCs w:val="21"/>
              </w:rPr>
              <w:t>本课程在第</w:t>
            </w:r>
            <w:r>
              <w:rPr>
                <w:rFonts w:hint="eastAsia" w:ascii="Times New Roman" w:hAnsi="Times New Roman" w:eastAsia="宋体" w:cs="宋体"/>
                <w:sz w:val="21"/>
                <w:szCs w:val="21"/>
              </w:rPr>
              <w:t>3</w:t>
            </w:r>
            <w:r>
              <w:rPr>
                <w:rFonts w:hint="eastAsia" w:ascii="宋体" w:hAnsi="宋体" w:eastAsia="宋体" w:cs="宋体"/>
                <w:sz w:val="21"/>
                <w:szCs w:val="21"/>
              </w:rPr>
              <w:t>学期开设，共</w:t>
            </w:r>
            <w:r>
              <w:rPr>
                <w:rFonts w:hint="eastAsia" w:ascii="Times New Roman" w:hAnsi="Times New Roman" w:eastAsia="宋体" w:cs="宋体"/>
                <w:sz w:val="21"/>
                <w:szCs w:val="21"/>
              </w:rPr>
              <w:t>16</w:t>
            </w:r>
            <w:r>
              <w:rPr>
                <w:rFonts w:hint="eastAsia" w:ascii="宋体" w:hAnsi="宋体" w:eastAsia="宋体" w:cs="宋体"/>
                <w:sz w:val="21"/>
                <w:szCs w:val="21"/>
              </w:rPr>
              <w:t>学时，</w:t>
            </w:r>
            <w:r>
              <w:rPr>
                <w:rFonts w:hint="eastAsia" w:ascii="Times New Roman" w:hAnsi="Times New Roman" w:eastAsia="宋体" w:cs="宋体"/>
                <w:sz w:val="21"/>
                <w:szCs w:val="21"/>
              </w:rPr>
              <w:t>1</w:t>
            </w:r>
            <w:r>
              <w:rPr>
                <w:rFonts w:hint="eastAsia" w:ascii="宋体" w:hAnsi="宋体" w:eastAsia="宋体" w:cs="宋体"/>
                <w:sz w:val="21"/>
                <w:szCs w:val="21"/>
              </w:rPr>
              <w:t>学分。包括新中国成立以来，中国共产党领导中国人民进行社会主义革命、探索和开创中国特色社会主义道路的历史，以及新中国交通运输发展史。</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b/>
                <w:bCs/>
                <w:color w:val="000000"/>
                <w:kern w:val="0"/>
                <w:szCs w:val="21"/>
              </w:rPr>
            </w:pPr>
            <w:r>
              <w:rPr>
                <w:rFonts w:hint="eastAsia" w:ascii="宋体" w:hAnsi="宋体" w:eastAsia="宋体" w:cs="宋体"/>
                <w:b/>
                <w:bCs/>
                <w:sz w:val="21"/>
                <w:szCs w:val="21"/>
              </w:rPr>
              <w:t>教学要求：</w:t>
            </w:r>
            <w:r>
              <w:rPr>
                <w:rFonts w:hint="eastAsia" w:ascii="宋体" w:hAnsi="宋体" w:eastAsia="宋体" w:cs="宋体"/>
                <w:sz w:val="21"/>
                <w:szCs w:val="21"/>
              </w:rPr>
              <w:t>遵循“史论结合”与“少而精”的原则，通过对重点史实和代表性论点的介绍和讨论，引导学生正确把握新中国史的主题、主线、主流，帮助学生坚定“四个自信”。</w:t>
            </w:r>
          </w:p>
        </w:tc>
        <w:tc>
          <w:tcPr>
            <w:tcW w:w="535" w:type="dxa"/>
            <w:shd w:val="clear" w:color="auto" w:fill="auto"/>
            <w:vAlign w:val="center"/>
          </w:tcPr>
          <w:p>
            <w:pPr>
              <w:pStyle w:val="15"/>
              <w:contextualSpacing/>
              <w:jc w:val="center"/>
              <w:rPr>
                <w:rFonts w:hint="default" w:eastAsia="宋体"/>
                <w:color w:val="000000"/>
                <w:kern w:val="0"/>
                <w:szCs w:val="21"/>
                <w:lang w:val="en-US" w:eastAsia="zh-CN"/>
              </w:rPr>
            </w:pPr>
            <w:r>
              <w:rPr>
                <w:rFonts w:hint="eastAsia" w:ascii="Times New Roman" w:hAnsi="Times New Roman"/>
                <w:color w:val="000000"/>
                <w:kern w:val="0"/>
                <w:szCs w:val="21"/>
                <w:lang w:val="en-US" w:eastAsia="zh-CN"/>
              </w:rPr>
              <w:t>16</w:t>
            </w:r>
          </w:p>
        </w:tc>
      </w:tr>
    </w:tbl>
    <w:p>
      <w:pPr>
        <w:pStyle w:val="15"/>
        <w:spacing w:line="360" w:lineRule="auto"/>
        <w:ind w:firstLine="480" w:firstLineChars="200"/>
        <w:contextualSpacing/>
        <w:rPr>
          <w:sz w:val="24"/>
        </w:rPr>
      </w:pPr>
      <w:r>
        <w:rPr>
          <w:sz w:val="24"/>
        </w:rPr>
        <w:t>本专业由南京交通职业技术学院、南京工程学院、苏交科集团股份有限公司三方联合培养，企业课程作为限选课开设，将以企业、市场岗位需求为导向，以培养学生的综合素质和实际能力为重点，企业嵌入课程围绕企业文化、项目管理</w:t>
      </w:r>
      <w:r>
        <w:rPr>
          <w:rFonts w:ascii="Times New Roman" w:hAnsi="Times New Roman"/>
          <w:sz w:val="24"/>
        </w:rPr>
        <w:t>PMP</w:t>
      </w:r>
      <w:r>
        <w:rPr>
          <w:sz w:val="24"/>
        </w:rPr>
        <w:t>、土木工程检测案例、施工安全四个方面进行设置，共计</w:t>
      </w:r>
      <w:r>
        <w:rPr>
          <w:rFonts w:ascii="Times New Roman" w:hAnsi="Times New Roman"/>
          <w:sz w:val="24"/>
        </w:rPr>
        <w:t>96</w:t>
      </w:r>
      <w:r>
        <w:rPr>
          <w:sz w:val="24"/>
        </w:rPr>
        <w:t>个课时，建议企业文化安排在第一学年，其余课程安排在第四学年。</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1110"/>
        <w:gridCol w:w="6450"/>
        <w:gridCol w:w="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b/>
                <w:color w:val="000000"/>
                <w:kern w:val="0"/>
                <w:szCs w:val="21"/>
              </w:rPr>
              <w:t>序号</w:t>
            </w:r>
          </w:p>
        </w:tc>
        <w:tc>
          <w:tcPr>
            <w:tcW w:w="1110" w:type="dxa"/>
            <w:shd w:val="clear" w:color="auto" w:fill="auto"/>
            <w:vAlign w:val="center"/>
          </w:tcPr>
          <w:p>
            <w:pPr>
              <w:pStyle w:val="15"/>
              <w:contextualSpacing/>
              <w:jc w:val="center"/>
              <w:rPr>
                <w:color w:val="000000"/>
                <w:kern w:val="0"/>
                <w:szCs w:val="21"/>
              </w:rPr>
            </w:pPr>
            <w:r>
              <w:rPr>
                <w:b/>
                <w:color w:val="000000"/>
                <w:kern w:val="0"/>
                <w:szCs w:val="21"/>
              </w:rPr>
              <w:t>课程名称</w:t>
            </w:r>
          </w:p>
        </w:tc>
        <w:tc>
          <w:tcPr>
            <w:tcW w:w="6450" w:type="dxa"/>
            <w:shd w:val="clear" w:color="auto" w:fill="auto"/>
            <w:vAlign w:val="center"/>
          </w:tcPr>
          <w:p>
            <w:pPr>
              <w:pStyle w:val="15"/>
              <w:spacing w:line="360" w:lineRule="auto"/>
              <w:contextualSpacing/>
              <w:jc w:val="center"/>
              <w:rPr>
                <w:color w:val="000000"/>
                <w:kern w:val="0"/>
                <w:szCs w:val="21"/>
              </w:rPr>
            </w:pPr>
            <w:r>
              <w:rPr>
                <w:b/>
                <w:color w:val="000000"/>
                <w:kern w:val="0"/>
                <w:szCs w:val="21"/>
              </w:rPr>
              <w:t>主要教学内容及要求</w:t>
            </w:r>
          </w:p>
        </w:tc>
        <w:tc>
          <w:tcPr>
            <w:tcW w:w="541" w:type="dxa"/>
            <w:shd w:val="clear" w:color="auto" w:fill="auto"/>
            <w:vAlign w:val="center"/>
          </w:tcPr>
          <w:p>
            <w:pPr>
              <w:pStyle w:val="15"/>
              <w:contextualSpacing/>
              <w:jc w:val="center"/>
              <w:rPr>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1</w:t>
            </w:r>
          </w:p>
        </w:tc>
        <w:tc>
          <w:tcPr>
            <w:tcW w:w="1110" w:type="dxa"/>
            <w:shd w:val="clear" w:color="auto" w:fill="auto"/>
            <w:vAlign w:val="center"/>
          </w:tcPr>
          <w:p>
            <w:pPr>
              <w:pStyle w:val="15"/>
              <w:contextualSpacing/>
              <w:rPr>
                <w:color w:val="000000"/>
                <w:kern w:val="0"/>
                <w:szCs w:val="21"/>
              </w:rPr>
            </w:pPr>
            <w:r>
              <w:rPr>
                <w:color w:val="000000"/>
                <w:kern w:val="0"/>
                <w:szCs w:val="21"/>
              </w:rPr>
              <w:t>企业文化</w:t>
            </w:r>
          </w:p>
        </w:tc>
        <w:tc>
          <w:tcPr>
            <w:tcW w:w="6450" w:type="dxa"/>
            <w:shd w:val="clear" w:color="auto" w:fill="auto"/>
            <w:vAlign w:val="center"/>
          </w:tcPr>
          <w:p>
            <w:pPr>
              <w:pStyle w:val="15"/>
              <w:ind w:firstLine="420" w:firstLineChars="200"/>
              <w:contextualSpacing/>
              <w:rPr>
                <w:color w:val="000000"/>
                <w:kern w:val="0"/>
                <w:szCs w:val="21"/>
              </w:rPr>
            </w:pPr>
            <w:r>
              <w:rPr>
                <w:color w:val="000000"/>
                <w:kern w:val="0"/>
                <w:szCs w:val="21"/>
              </w:rPr>
              <w:t>企业文化课程主要介绍苏交科的发展历程、核心价值观及成长逻辑、项目管理模式及</w:t>
            </w:r>
            <w:r>
              <w:rPr>
                <w:rFonts w:ascii="Times New Roman" w:hAnsi="Times New Roman"/>
                <w:color w:val="000000"/>
                <w:kern w:val="0"/>
                <w:szCs w:val="21"/>
              </w:rPr>
              <w:t>PM</w:t>
            </w:r>
            <w:r>
              <w:rPr>
                <w:color w:val="000000"/>
                <w:kern w:val="0"/>
                <w:szCs w:val="21"/>
              </w:rPr>
              <w:t>系统实操、业务及市场分布、客户管理体系、演讲沟通与汇报呈现等内容。</w:t>
            </w:r>
          </w:p>
        </w:tc>
        <w:tc>
          <w:tcPr>
            <w:tcW w:w="541" w:type="dxa"/>
            <w:shd w:val="clear" w:color="auto" w:fill="auto"/>
            <w:vAlign w:val="center"/>
          </w:tcPr>
          <w:p>
            <w:pPr>
              <w:pStyle w:val="15"/>
              <w:contextualSpacing/>
              <w:jc w:val="center"/>
              <w:rPr>
                <w:szCs w:val="21"/>
              </w:rPr>
            </w:pPr>
            <w:r>
              <w:rPr>
                <w:rFonts w:ascii="Times New Roman" w:hAnsi="Times New Roman"/>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2</w:t>
            </w:r>
          </w:p>
        </w:tc>
        <w:tc>
          <w:tcPr>
            <w:tcW w:w="1110" w:type="dxa"/>
            <w:shd w:val="clear" w:color="auto" w:fill="auto"/>
            <w:vAlign w:val="center"/>
          </w:tcPr>
          <w:p>
            <w:pPr>
              <w:pStyle w:val="15"/>
              <w:contextualSpacing/>
              <w:rPr>
                <w:color w:val="000000"/>
                <w:kern w:val="0"/>
                <w:szCs w:val="21"/>
              </w:rPr>
            </w:pPr>
            <w:r>
              <w:rPr>
                <w:color w:val="000000"/>
                <w:kern w:val="0"/>
                <w:szCs w:val="21"/>
              </w:rPr>
              <w:t>项目管理</w:t>
            </w:r>
            <w:r>
              <w:rPr>
                <w:rFonts w:ascii="Times New Roman" w:hAnsi="Times New Roman"/>
                <w:color w:val="000000"/>
                <w:kern w:val="0"/>
                <w:szCs w:val="21"/>
              </w:rPr>
              <w:t>PMP</w:t>
            </w:r>
          </w:p>
        </w:tc>
        <w:tc>
          <w:tcPr>
            <w:tcW w:w="6450" w:type="dxa"/>
            <w:shd w:val="clear" w:color="auto" w:fill="auto"/>
            <w:vAlign w:val="center"/>
          </w:tcPr>
          <w:p>
            <w:pPr>
              <w:pStyle w:val="15"/>
              <w:ind w:firstLine="420" w:firstLineChars="200"/>
              <w:contextualSpacing/>
              <w:rPr>
                <w:color w:val="000000"/>
                <w:kern w:val="0"/>
                <w:szCs w:val="21"/>
              </w:rPr>
            </w:pPr>
            <w:r>
              <w:rPr>
                <w:color w:val="000000"/>
                <w:kern w:val="0"/>
                <w:szCs w:val="21"/>
              </w:rPr>
              <w:t>采用中英文教学，进行</w:t>
            </w:r>
            <w:r>
              <w:rPr>
                <w:rFonts w:ascii="Times New Roman" w:hAnsi="Times New Roman"/>
                <w:color w:val="000000"/>
                <w:kern w:val="0"/>
                <w:szCs w:val="21"/>
              </w:rPr>
              <w:t>PMP</w:t>
            </w:r>
            <w:r>
              <w:rPr>
                <w:color w:val="000000"/>
                <w:kern w:val="0"/>
                <w:szCs w:val="21"/>
              </w:rPr>
              <w:t>标准课程培训，重点学习项目管理框架与流程，项目整合、时间、质量、风险等专业管理理论知识，对项目管理整体有一定认知，同时为</w:t>
            </w:r>
            <w:r>
              <w:rPr>
                <w:rFonts w:ascii="Times New Roman" w:hAnsi="Times New Roman"/>
                <w:color w:val="000000"/>
                <w:kern w:val="0"/>
                <w:szCs w:val="21"/>
              </w:rPr>
              <w:t>PMP</w:t>
            </w:r>
            <w:r>
              <w:rPr>
                <w:color w:val="000000"/>
                <w:kern w:val="0"/>
                <w:szCs w:val="21"/>
              </w:rPr>
              <w:t>证书考试打造理论学习基础。</w:t>
            </w:r>
          </w:p>
        </w:tc>
        <w:tc>
          <w:tcPr>
            <w:tcW w:w="541" w:type="dxa"/>
            <w:shd w:val="clear" w:color="auto" w:fill="auto"/>
            <w:vAlign w:val="center"/>
          </w:tcPr>
          <w:p>
            <w:pPr>
              <w:pStyle w:val="15"/>
              <w:contextualSpacing/>
              <w:jc w:val="center"/>
              <w:rPr>
                <w:szCs w:val="21"/>
              </w:rPr>
            </w:pPr>
            <w:r>
              <w:rPr>
                <w:rFonts w:ascii="Times New Roman" w:hAnsi="Times New Roman"/>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3</w:t>
            </w:r>
          </w:p>
        </w:tc>
        <w:tc>
          <w:tcPr>
            <w:tcW w:w="1110" w:type="dxa"/>
            <w:shd w:val="clear" w:color="auto" w:fill="auto"/>
            <w:vAlign w:val="center"/>
          </w:tcPr>
          <w:p>
            <w:pPr>
              <w:pStyle w:val="15"/>
              <w:contextualSpacing/>
              <w:rPr>
                <w:color w:val="000000"/>
                <w:kern w:val="0"/>
                <w:szCs w:val="21"/>
              </w:rPr>
            </w:pPr>
            <w:r>
              <w:rPr>
                <w:color w:val="000000"/>
                <w:kern w:val="0"/>
                <w:szCs w:val="21"/>
              </w:rPr>
              <w:t>土木工程检测案例</w:t>
            </w:r>
          </w:p>
        </w:tc>
        <w:tc>
          <w:tcPr>
            <w:tcW w:w="6450" w:type="dxa"/>
            <w:shd w:val="clear" w:color="auto" w:fill="auto"/>
            <w:vAlign w:val="center"/>
          </w:tcPr>
          <w:p>
            <w:pPr>
              <w:pStyle w:val="15"/>
              <w:ind w:firstLine="420" w:firstLineChars="200"/>
              <w:contextualSpacing/>
              <w:rPr>
                <w:color w:val="000000"/>
                <w:kern w:val="0"/>
                <w:szCs w:val="21"/>
              </w:rPr>
            </w:pPr>
            <w:r>
              <w:rPr>
                <w:color w:val="000000"/>
                <w:kern w:val="0"/>
                <w:szCs w:val="21"/>
              </w:rPr>
              <w:t>结合苏交科大型经典项目案例，介绍土木工程专业试验检测标准及试验室管理规范，项目试验检测质量控制及检测试验技术关键点描述，试验检测报告编写规范及注意事项，报告编制审批流程、风控等内容。</w:t>
            </w:r>
          </w:p>
        </w:tc>
        <w:tc>
          <w:tcPr>
            <w:tcW w:w="541" w:type="dxa"/>
            <w:shd w:val="clear" w:color="auto" w:fill="auto"/>
            <w:vAlign w:val="center"/>
          </w:tcPr>
          <w:p>
            <w:pPr>
              <w:pStyle w:val="15"/>
              <w:contextualSpacing/>
              <w:jc w:val="center"/>
              <w:rPr>
                <w:szCs w:val="21"/>
              </w:rPr>
            </w:pPr>
            <w:r>
              <w:rPr>
                <w:rFonts w:ascii="Times New Roman" w:hAnsi="Times New Roman"/>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4</w:t>
            </w:r>
          </w:p>
        </w:tc>
        <w:tc>
          <w:tcPr>
            <w:tcW w:w="1110" w:type="dxa"/>
            <w:shd w:val="clear" w:color="auto" w:fill="auto"/>
            <w:vAlign w:val="center"/>
          </w:tcPr>
          <w:p>
            <w:pPr>
              <w:pStyle w:val="15"/>
              <w:contextualSpacing/>
              <w:rPr>
                <w:color w:val="000000"/>
                <w:kern w:val="0"/>
                <w:szCs w:val="21"/>
              </w:rPr>
            </w:pPr>
            <w:r>
              <w:rPr>
                <w:color w:val="000000"/>
                <w:kern w:val="0"/>
                <w:szCs w:val="21"/>
              </w:rPr>
              <w:t>施工安全管理</w:t>
            </w:r>
          </w:p>
        </w:tc>
        <w:tc>
          <w:tcPr>
            <w:tcW w:w="6450" w:type="dxa"/>
            <w:shd w:val="clear" w:color="auto" w:fill="auto"/>
            <w:vAlign w:val="center"/>
          </w:tcPr>
          <w:p>
            <w:pPr>
              <w:pStyle w:val="15"/>
              <w:ind w:firstLine="420" w:firstLineChars="200"/>
              <w:contextualSpacing/>
              <w:rPr>
                <w:color w:val="000000"/>
                <w:kern w:val="0"/>
                <w:szCs w:val="21"/>
              </w:rPr>
            </w:pPr>
            <w:r>
              <w:rPr>
                <w:color w:val="000000"/>
                <w:kern w:val="0"/>
                <w:szCs w:val="21"/>
              </w:rPr>
              <w:t>结合典型施工案例，重点学习公路工程安全管理基本知识；公路工程施工安全管理与文明施工；施工现场安全技术要点；路基工程、路面工程、桥涵工程、石方、隧道工程施工安全技术要点；特殊季节与夜间施工安全技术要点。通过本课程的学习，使学生有一定的路基、路面、桥梁等工程施工的安全技术，具备安全员的能力。</w:t>
            </w:r>
          </w:p>
        </w:tc>
        <w:tc>
          <w:tcPr>
            <w:tcW w:w="541" w:type="dxa"/>
            <w:shd w:val="clear" w:color="auto" w:fill="auto"/>
            <w:vAlign w:val="center"/>
          </w:tcPr>
          <w:p>
            <w:pPr>
              <w:pStyle w:val="15"/>
              <w:contextualSpacing/>
              <w:jc w:val="center"/>
              <w:rPr>
                <w:szCs w:val="21"/>
              </w:rPr>
            </w:pPr>
            <w:r>
              <w:rPr>
                <w:rFonts w:ascii="Times New Roman" w:hAnsi="Times New Roman"/>
                <w:szCs w:val="21"/>
              </w:rPr>
              <w:t>32</w:t>
            </w:r>
          </w:p>
        </w:tc>
      </w:tr>
    </w:tbl>
    <w:p>
      <w:pPr>
        <w:numPr>
          <w:ilvl w:val="0"/>
          <w:numId w:val="0"/>
        </w:numPr>
        <w:spacing w:line="360" w:lineRule="auto"/>
        <w:ind w:left="482" w:leftChars="0"/>
        <w:contextualSpacing/>
        <w:outlineLvl w:val="2"/>
        <w:rPr>
          <w:rFonts w:hint="eastAsia"/>
          <w:b/>
          <w:sz w:val="28"/>
          <w:szCs w:val="28"/>
          <w:lang w:eastAsia="zh-CN"/>
        </w:rPr>
      </w:pPr>
      <w:r>
        <w:rPr>
          <w:rFonts w:hint="eastAsia"/>
          <w:b/>
          <w:sz w:val="28"/>
          <w:szCs w:val="28"/>
          <w:lang w:eastAsia="zh-CN"/>
        </w:rPr>
        <w:t>（</w:t>
      </w:r>
      <w:r>
        <w:rPr>
          <w:rFonts w:hint="eastAsia"/>
          <w:b/>
          <w:sz w:val="28"/>
          <w:szCs w:val="28"/>
          <w:lang w:val="en-US" w:eastAsia="zh-CN"/>
        </w:rPr>
        <w:t>六</w:t>
      </w:r>
      <w:r>
        <w:rPr>
          <w:rFonts w:hint="eastAsia"/>
          <w:b/>
          <w:sz w:val="28"/>
          <w:szCs w:val="28"/>
          <w:lang w:eastAsia="zh-CN"/>
        </w:rPr>
        <w:t>）实践性教学环节</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1110"/>
        <w:gridCol w:w="6450"/>
        <w:gridCol w:w="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序号</w:t>
            </w:r>
          </w:p>
        </w:tc>
        <w:tc>
          <w:tcPr>
            <w:tcW w:w="111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实习（训）名称</w:t>
            </w:r>
          </w:p>
        </w:tc>
        <w:tc>
          <w:tcPr>
            <w:tcW w:w="6450"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主要教学内容及要求</w:t>
            </w:r>
          </w:p>
        </w:tc>
        <w:tc>
          <w:tcPr>
            <w:tcW w:w="541"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240" w:lineRule="auto"/>
              <w:contextualSpacing/>
              <w:jc w:val="center"/>
              <w:textAlignment w:val="auto"/>
              <w:rPr>
                <w:b/>
                <w:color w:val="000000"/>
                <w:kern w:val="0"/>
                <w:szCs w:val="21"/>
              </w:rPr>
            </w:pPr>
            <w:r>
              <w:rPr>
                <w:b/>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spacing w:line="360" w:lineRule="auto"/>
              <w:contextualSpacing/>
              <w:jc w:val="center"/>
              <w:rPr>
                <w:b/>
                <w:color w:val="000000"/>
                <w:kern w:val="0"/>
                <w:szCs w:val="21"/>
              </w:rPr>
            </w:pPr>
            <w:r>
              <w:rPr>
                <w:rFonts w:ascii="Times New Roman" w:hAnsi="Times New Roman"/>
                <w:kern w:val="0"/>
                <w:szCs w:val="21"/>
              </w:rPr>
              <w:t>1</w:t>
            </w:r>
          </w:p>
        </w:tc>
        <w:tc>
          <w:tcPr>
            <w:tcW w:w="1110" w:type="dxa"/>
            <w:shd w:val="clear" w:color="auto" w:fill="auto"/>
            <w:vAlign w:val="center"/>
          </w:tcPr>
          <w:p>
            <w:pPr>
              <w:pStyle w:val="15"/>
              <w:spacing w:line="360" w:lineRule="auto"/>
              <w:contextualSpacing/>
              <w:rPr>
                <w:kern w:val="0"/>
                <w:szCs w:val="21"/>
              </w:rPr>
            </w:pPr>
            <w:r>
              <w:rPr>
                <w:kern w:val="0"/>
                <w:szCs w:val="21"/>
              </w:rPr>
              <w:t>军事技能</w:t>
            </w:r>
          </w:p>
        </w:tc>
        <w:tc>
          <w:tcPr>
            <w:tcW w:w="6450" w:type="dxa"/>
            <w:shd w:val="clear" w:color="auto" w:fill="auto"/>
            <w:vAlign w:val="center"/>
          </w:tcPr>
          <w:p>
            <w:pPr>
              <w:pStyle w:val="15"/>
              <w:ind w:firstLine="422" w:firstLineChars="200"/>
              <w:contextualSpacing/>
              <w:rPr>
                <w:kern w:val="0"/>
                <w:szCs w:val="21"/>
              </w:rPr>
            </w:pPr>
            <w:r>
              <w:rPr>
                <w:b/>
                <w:kern w:val="0"/>
                <w:szCs w:val="21"/>
              </w:rPr>
              <w:t>教学内容：</w:t>
            </w:r>
            <w:r>
              <w:rPr>
                <w:kern w:val="0"/>
                <w:szCs w:val="21"/>
              </w:rPr>
              <w:t>本课程主要讲授中国人民解放军三大条令的主要内容；队列动作的基本要领；轻武器的战斗性能；射击动作要领；单兵战术基础动作；战斗班组攻防的基本动作和战术原则；格斗、防护的基本知识；卫生、救护基本要领；战场自救互救的技能。</w:t>
            </w:r>
          </w:p>
          <w:p>
            <w:pPr>
              <w:pStyle w:val="15"/>
              <w:ind w:firstLine="422" w:firstLineChars="200"/>
              <w:contextualSpacing/>
              <w:rPr>
                <w:color w:val="000000"/>
                <w:kern w:val="0"/>
                <w:szCs w:val="21"/>
              </w:rPr>
            </w:pPr>
            <w:r>
              <w:rPr>
                <w:b/>
                <w:kern w:val="0"/>
                <w:szCs w:val="21"/>
              </w:rPr>
              <w:t>教学要求：</w:t>
            </w:r>
            <w:r>
              <w:rPr>
                <w:kern w:val="0"/>
                <w:szCs w:val="21"/>
              </w:rPr>
              <w:t>通过本课程学习，</w:t>
            </w:r>
            <w:r>
              <w:rPr>
                <w:rFonts w:hint="eastAsia"/>
                <w:kern w:val="0"/>
                <w:szCs w:val="21"/>
              </w:rPr>
              <w:t>培养学生良好的战斗素养，熟悉卫生、救护的基本要领，养成良好的军事素养。</w:t>
            </w:r>
            <w:r>
              <w:rPr>
                <w:kern w:val="0"/>
                <w:szCs w:val="21"/>
              </w:rPr>
              <w:t>使学生</w:t>
            </w:r>
            <w:r>
              <w:rPr>
                <w:rFonts w:hint="eastAsia"/>
                <w:kern w:val="0"/>
                <w:szCs w:val="21"/>
              </w:rPr>
              <w:t>使学生了解掌握基本军事技能，增强国防观念、国家安全意识和忧患危机意识，弘扬爱国主义精神、传承红色基因、提高学生综合国防素质。</w:t>
            </w:r>
          </w:p>
        </w:tc>
        <w:tc>
          <w:tcPr>
            <w:tcW w:w="541" w:type="dxa"/>
            <w:shd w:val="clear" w:color="auto" w:fill="auto"/>
            <w:vAlign w:val="center"/>
          </w:tcPr>
          <w:p>
            <w:pPr>
              <w:pStyle w:val="15"/>
              <w:contextualSpacing/>
              <w:jc w:val="center"/>
              <w:rPr>
                <w:szCs w:val="21"/>
              </w:rPr>
            </w:pPr>
            <w:r>
              <w:rPr>
                <w:rFonts w:ascii="Times New Roman" w:hAnsi="Times New Roman"/>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2</w:t>
            </w:r>
          </w:p>
        </w:tc>
        <w:tc>
          <w:tcPr>
            <w:tcW w:w="1110" w:type="dxa"/>
            <w:shd w:val="clear" w:color="auto" w:fill="auto"/>
            <w:vAlign w:val="center"/>
          </w:tcPr>
          <w:p>
            <w:pPr>
              <w:pStyle w:val="15"/>
              <w:contextualSpacing/>
              <w:rPr>
                <w:rFonts w:eastAsia="楷体_GB2312"/>
                <w:color w:val="000000"/>
                <w:kern w:val="0"/>
                <w:szCs w:val="21"/>
              </w:rPr>
            </w:pPr>
            <w:r>
              <w:rPr>
                <w:kern w:val="0"/>
                <w:szCs w:val="21"/>
              </w:rPr>
              <w:t>工程制图实训</w:t>
            </w:r>
          </w:p>
        </w:tc>
        <w:tc>
          <w:tcPr>
            <w:tcW w:w="6450" w:type="dxa"/>
            <w:shd w:val="clear" w:color="auto" w:fill="auto"/>
            <w:vAlign w:val="center"/>
          </w:tcPr>
          <w:p>
            <w:pPr>
              <w:ind w:firstLine="422" w:firstLineChars="200"/>
              <w:rPr>
                <w:szCs w:val="21"/>
              </w:rPr>
            </w:pPr>
            <w:r>
              <w:rPr>
                <w:b/>
                <w:bCs/>
                <w:kern w:val="0"/>
                <w:szCs w:val="21"/>
              </w:rPr>
              <w:t>教学内容</w:t>
            </w:r>
            <w:r>
              <w:rPr>
                <w:kern w:val="0"/>
                <w:szCs w:val="21"/>
              </w:rPr>
              <w:t>：</w:t>
            </w:r>
            <w:r>
              <w:rPr>
                <w:szCs w:val="21"/>
              </w:rPr>
              <w:t>本实训主要是综合运用所学知识绘制桥涵一般构造图及部分大样图；综合运用计算机辅助绘图知识和技能，绘制工程图。</w:t>
            </w:r>
          </w:p>
          <w:p>
            <w:pPr>
              <w:pStyle w:val="15"/>
              <w:ind w:firstLine="422" w:firstLineChars="200"/>
              <w:contextualSpacing/>
              <w:rPr>
                <w:color w:val="000000"/>
                <w:kern w:val="0"/>
                <w:szCs w:val="21"/>
              </w:rPr>
            </w:pPr>
            <w:r>
              <w:rPr>
                <w:b/>
                <w:bCs/>
                <w:szCs w:val="21"/>
              </w:rPr>
              <w:t>教学要求</w:t>
            </w:r>
            <w:r>
              <w:rPr>
                <w:szCs w:val="21"/>
              </w:rPr>
              <w:t>：通过绘图训练，使学生进一步熟悉制图的基本规则，培养学生的制图技能，加强道路工程图、桥梁工程图的阅读能力的训练和运用</w:t>
            </w:r>
            <w:r>
              <w:rPr>
                <w:rFonts w:ascii="Times New Roman" w:hAnsi="Times New Roman"/>
                <w:szCs w:val="21"/>
              </w:rPr>
              <w:t>CAD</w:t>
            </w:r>
            <w:r>
              <w:rPr>
                <w:szCs w:val="21"/>
              </w:rPr>
              <w:t>应用软件绘制简单工程图的能力。有能力参加 “绘图员”和 “</w:t>
            </w:r>
            <w:r>
              <w:rPr>
                <w:rFonts w:ascii="Times New Roman" w:hAnsi="Times New Roman"/>
                <w:szCs w:val="21"/>
              </w:rPr>
              <w:t>CAD</w:t>
            </w:r>
            <w:r>
              <w:rPr>
                <w:szCs w:val="21"/>
              </w:rPr>
              <w:t>”考试并取得相应的职业资格证书。</w:t>
            </w:r>
          </w:p>
        </w:tc>
        <w:tc>
          <w:tcPr>
            <w:tcW w:w="541" w:type="dxa"/>
            <w:shd w:val="clear" w:color="auto" w:fill="auto"/>
            <w:vAlign w:val="center"/>
          </w:tcPr>
          <w:p>
            <w:pPr>
              <w:pStyle w:val="15"/>
              <w:contextualSpacing/>
              <w:jc w:val="center"/>
              <w:rPr>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3</w:t>
            </w:r>
          </w:p>
        </w:tc>
        <w:tc>
          <w:tcPr>
            <w:tcW w:w="1110" w:type="dxa"/>
            <w:shd w:val="clear" w:color="auto" w:fill="auto"/>
            <w:vAlign w:val="center"/>
          </w:tcPr>
          <w:p>
            <w:pPr>
              <w:pStyle w:val="15"/>
              <w:contextualSpacing/>
              <w:rPr>
                <w:rFonts w:eastAsia="楷体_GB2312"/>
                <w:color w:val="000000"/>
                <w:kern w:val="0"/>
                <w:szCs w:val="21"/>
              </w:rPr>
            </w:pPr>
            <w:r>
              <w:rPr>
                <w:kern w:val="0"/>
                <w:szCs w:val="21"/>
              </w:rPr>
              <w:t>程序设计实训</w:t>
            </w:r>
          </w:p>
        </w:tc>
        <w:tc>
          <w:tcPr>
            <w:tcW w:w="6450" w:type="dxa"/>
            <w:shd w:val="clear" w:color="auto" w:fill="auto"/>
            <w:vAlign w:val="center"/>
          </w:tcPr>
          <w:p>
            <w:pPr>
              <w:pStyle w:val="15"/>
              <w:ind w:firstLine="420" w:firstLineChars="200"/>
              <w:contextualSpacing/>
              <w:rPr>
                <w:color w:val="000000"/>
                <w:kern w:val="0"/>
                <w:szCs w:val="21"/>
              </w:rPr>
            </w:pPr>
            <w:r>
              <w:rPr>
                <w:color w:val="000000"/>
                <w:kern w:val="0"/>
                <w:szCs w:val="21"/>
              </w:rPr>
              <w:t>学生在课堂教学之后通过自己上机设计、验证自己所写代码，掌握面向对象编程的特点，从而由面向过程转变为面向对象，能运用面向对象的思想设计、开发软件。通过本课程的实训使学生了解计算机语言的功能和适用领域，具备程序设计的知识和能力，熟练地掌握</w:t>
            </w:r>
            <w:r>
              <w:rPr>
                <w:rFonts w:hint="eastAsia"/>
                <w:color w:val="000000"/>
                <w:kern w:val="0"/>
                <w:szCs w:val="21"/>
              </w:rPr>
              <w:t>程序设计</w:t>
            </w:r>
            <w:r>
              <w:rPr>
                <w:color w:val="000000"/>
                <w:kern w:val="0"/>
                <w:szCs w:val="21"/>
              </w:rPr>
              <w:t>语言。</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4</w:t>
            </w:r>
          </w:p>
        </w:tc>
        <w:tc>
          <w:tcPr>
            <w:tcW w:w="1110" w:type="dxa"/>
            <w:shd w:val="clear" w:color="auto" w:fill="auto"/>
            <w:vAlign w:val="center"/>
          </w:tcPr>
          <w:p>
            <w:pPr>
              <w:pStyle w:val="15"/>
              <w:contextualSpacing/>
              <w:rPr>
                <w:rFonts w:eastAsia="楷体_GB2312"/>
                <w:color w:val="000000"/>
                <w:kern w:val="0"/>
                <w:szCs w:val="21"/>
              </w:rPr>
            </w:pPr>
            <w:r>
              <w:rPr>
                <w:kern w:val="0"/>
                <w:szCs w:val="21"/>
              </w:rPr>
              <w:t>工程测量实训</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实训主要是让学生具备测量的相关理论知识条件下掌握综合技能的运用。将水准测量、角度测量、距离丈量及直线定向、导线测量、地形测量、线路测量、路线纵断面测量、路线横断面测量有机结合，完成绘制大比例尺地形图以及进行</w:t>
            </w:r>
            <w:r>
              <w:rPr>
                <w:rFonts w:ascii="Times New Roman" w:hAnsi="Times New Roman"/>
                <w:color w:val="000000"/>
                <w:kern w:val="0"/>
                <w:szCs w:val="21"/>
              </w:rPr>
              <w:t>1000m</w:t>
            </w:r>
            <w:r>
              <w:rPr>
                <w:color w:val="000000"/>
                <w:kern w:val="0"/>
                <w:szCs w:val="21"/>
              </w:rPr>
              <w:t>左右的铁路线路测量。</w:t>
            </w:r>
          </w:p>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通过综合实训，能够承担施工一线的施工测量，能解决现场的实际问题，能测绘和运用地形图；会路线测量放样；培养学生诚实、守信、善于沟通和合作的品质、吃苦耐劳和客观科学的职业精神，为发展职业能力奠定良好的基础。</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5</w:t>
            </w:r>
          </w:p>
        </w:tc>
        <w:tc>
          <w:tcPr>
            <w:tcW w:w="1110" w:type="dxa"/>
            <w:shd w:val="clear" w:color="auto" w:fill="auto"/>
            <w:vAlign w:val="center"/>
          </w:tcPr>
          <w:p>
            <w:pPr>
              <w:pStyle w:val="15"/>
              <w:contextualSpacing/>
              <w:rPr>
                <w:rFonts w:eastAsia="楷体_GB2312"/>
                <w:color w:val="000000"/>
                <w:kern w:val="0"/>
                <w:szCs w:val="21"/>
              </w:rPr>
            </w:pPr>
            <w:r>
              <w:rPr>
                <w:kern w:val="0"/>
                <w:szCs w:val="21"/>
              </w:rPr>
              <w:t>道路材料配合比设计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实训主要开设水泥混凝土、沥青混凝土配合比设计综合实训项目。选择工程实例，设计工作情景，指导学生制定配合比设计方案，进行原材料试验、初步配合比设计，并根据工程要求进行配合比调整、校核，提出生产配合比。</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通过综合实训，使学生能进行材料性能的检测和评定，能根据工程需要，完成水泥混凝土、沥青混凝的配合比设计任务；能对各项材料试验检测结果进行分析判断，并能提出改善的措施。</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6</w:t>
            </w:r>
          </w:p>
        </w:tc>
        <w:tc>
          <w:tcPr>
            <w:tcW w:w="1110" w:type="dxa"/>
            <w:shd w:val="clear" w:color="auto" w:fill="auto"/>
            <w:vAlign w:val="center"/>
          </w:tcPr>
          <w:p>
            <w:pPr>
              <w:pStyle w:val="15"/>
              <w:contextualSpacing/>
              <w:rPr>
                <w:rFonts w:eastAsia="楷体_GB2312"/>
                <w:color w:val="000000"/>
                <w:kern w:val="0"/>
                <w:szCs w:val="21"/>
              </w:rPr>
            </w:pPr>
            <w:r>
              <w:rPr>
                <w:kern w:val="0"/>
                <w:szCs w:val="21"/>
              </w:rPr>
              <w:t>结构设计原理课程设计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本课程设计主要针对桥梁结构，进行桥梁构造识图与设计进行课程设计。</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通过设置课程案例，发布设计任务，使得学生对中小跨径简支梁桥进行结构设计，出具计算书并绘制结构图。同时结合现场学习，加深对梁桥、拱桥、悬索桥、桥梁墩台、桥面系等构造以及受力状态的认识，</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7</w:t>
            </w:r>
          </w:p>
        </w:tc>
        <w:tc>
          <w:tcPr>
            <w:tcW w:w="1110" w:type="dxa"/>
            <w:shd w:val="clear" w:color="auto" w:fill="auto"/>
            <w:vAlign w:val="center"/>
          </w:tcPr>
          <w:p>
            <w:pPr>
              <w:pStyle w:val="15"/>
              <w:contextualSpacing/>
              <w:rPr>
                <w:rFonts w:eastAsia="楷体_GB2312"/>
                <w:color w:val="000000"/>
                <w:kern w:val="0"/>
                <w:szCs w:val="21"/>
              </w:rPr>
            </w:pPr>
            <w:r>
              <w:rPr>
                <w:kern w:val="0"/>
                <w:szCs w:val="21"/>
              </w:rPr>
              <w:t>道路勘测课程设计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实训课程主要开设公路横断面课程设计、公路中线平面测设两个实训项目，主要结合本课程实训周之前已学习的相关知识引导学生运用公路横断面设计的原理进行公路横断面设计，运用坐标法计算坐标的原理进行路线中桩坐标的计算，运用路线放样的原理进行路线放样。</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学习与训练，达到能够根据所给资料，进行公路横断面设计，完成土石方计算与调配，编制路基设计表，土石方调配表；能够根据所给资料，进行公路中桩坐标的计算，根据中桩坐标利用全站仪进行实地放线。要求学生能运用技术标准和设计规范进行低等级公路的横断面设计和施工图纸的绘制及设计中线的实地测设。</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8</w:t>
            </w:r>
          </w:p>
        </w:tc>
        <w:tc>
          <w:tcPr>
            <w:tcW w:w="1110" w:type="dxa"/>
            <w:shd w:val="clear" w:color="auto" w:fill="auto"/>
            <w:vAlign w:val="center"/>
          </w:tcPr>
          <w:p>
            <w:pPr>
              <w:pStyle w:val="15"/>
              <w:contextualSpacing/>
              <w:rPr>
                <w:rFonts w:eastAsia="楷体_GB2312"/>
                <w:color w:val="000000"/>
                <w:kern w:val="0"/>
                <w:szCs w:val="21"/>
              </w:rPr>
            </w:pPr>
            <w:r>
              <w:rPr>
                <w:kern w:val="0"/>
                <w:szCs w:val="21"/>
              </w:rPr>
              <w:t>路基路面工程课程设计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本课程主要开设沥青路面的设计（运用软件）、水泥混凝土路面的设计和路基路面的施工现场实习。</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通过学习与训练，使学生能运用设计规范进行沥青路面和水泥混凝土路面的设计，并能按图纸施工。同时使学生树立“质量第一”的工程意识，和良好的团队合作意识。</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9</w:t>
            </w:r>
          </w:p>
        </w:tc>
        <w:tc>
          <w:tcPr>
            <w:tcW w:w="1110" w:type="dxa"/>
            <w:shd w:val="clear" w:color="auto" w:fill="auto"/>
            <w:vAlign w:val="center"/>
          </w:tcPr>
          <w:p>
            <w:pPr>
              <w:pStyle w:val="15"/>
              <w:contextualSpacing/>
              <w:rPr>
                <w:rFonts w:eastAsia="楷体_GB2312"/>
                <w:color w:val="000000"/>
                <w:kern w:val="0"/>
                <w:szCs w:val="21"/>
              </w:rPr>
            </w:pPr>
            <w:r>
              <w:rPr>
                <w:kern w:val="0"/>
                <w:szCs w:val="21"/>
              </w:rPr>
              <w:t>桥梁工程课程设计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参观桥梁工程的施工现场，把课堂所学的桥梁结构知识，施工程序和方法以及主要工种的操作技术和现场情况相联系。</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 xml:space="preserve">培养学生施工组织管理和解决实际问题的能力，重点是施工方案及现场质量控制方法。达到桥梁施工岗位的基本要求。  </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10</w:t>
            </w:r>
          </w:p>
        </w:tc>
        <w:tc>
          <w:tcPr>
            <w:tcW w:w="1110" w:type="dxa"/>
            <w:shd w:val="clear" w:color="auto" w:fill="auto"/>
            <w:vAlign w:val="center"/>
          </w:tcPr>
          <w:p>
            <w:pPr>
              <w:pStyle w:val="15"/>
              <w:contextualSpacing/>
              <w:rPr>
                <w:rFonts w:eastAsia="楷体_GB2312"/>
                <w:color w:val="000000"/>
                <w:kern w:val="0"/>
                <w:szCs w:val="21"/>
              </w:rPr>
            </w:pPr>
            <w:r>
              <w:rPr>
                <w:kern w:val="0"/>
                <w:szCs w:val="21"/>
              </w:rPr>
              <w:t>概预算课程设计</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本课程实训主要开设公或桥梁工程施工图预算。根据所给资料和施工组织设计。运用现行公路工程概预算编制办法和定额，列出项目，计算工程数量，编制施工图预算。</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通过学习与训练，要求学生能编制简单项目的施工图预算进行造价控制。</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kern w:val="0"/>
                <w:szCs w:val="21"/>
              </w:rPr>
            </w:pPr>
            <w:r>
              <w:rPr>
                <w:rFonts w:hint="eastAsia" w:ascii="Times New Roman" w:hAnsi="Times New Roman"/>
                <w:kern w:val="0"/>
                <w:szCs w:val="21"/>
              </w:rPr>
              <w:t>1</w:t>
            </w:r>
            <w:r>
              <w:rPr>
                <w:rFonts w:ascii="Times New Roman" w:hAnsi="Times New Roman"/>
                <w:kern w:val="0"/>
                <w:szCs w:val="21"/>
              </w:rPr>
              <w:t>1</w:t>
            </w:r>
          </w:p>
        </w:tc>
        <w:tc>
          <w:tcPr>
            <w:tcW w:w="1110" w:type="dxa"/>
            <w:shd w:val="clear" w:color="auto" w:fill="auto"/>
            <w:vAlign w:val="center"/>
          </w:tcPr>
          <w:p>
            <w:pPr>
              <w:pStyle w:val="15"/>
              <w:contextualSpacing/>
              <w:rPr>
                <w:kern w:val="0"/>
                <w:szCs w:val="21"/>
              </w:rPr>
            </w:pPr>
            <w:r>
              <w:rPr>
                <w:rFonts w:hint="eastAsia" w:ascii="宋体" w:hAnsi="宋体" w:cs="宋体"/>
                <w:kern w:val="0"/>
                <w:szCs w:val="21"/>
              </w:rPr>
              <w:t>劳动教育（含双创实践）</w:t>
            </w:r>
          </w:p>
        </w:tc>
        <w:tc>
          <w:tcPr>
            <w:tcW w:w="6450" w:type="dxa"/>
            <w:shd w:val="clear" w:color="auto" w:fill="auto"/>
            <w:vAlign w:val="center"/>
          </w:tcPr>
          <w:p>
            <w:pPr>
              <w:pStyle w:val="15"/>
              <w:ind w:firstLine="422" w:firstLineChars="200"/>
              <w:contextualSpacing/>
              <w:rPr>
                <w:rFonts w:ascii="宋体" w:hAnsi="宋体" w:cs="宋体"/>
                <w:kern w:val="0"/>
                <w:szCs w:val="21"/>
              </w:rPr>
            </w:pPr>
            <w:r>
              <w:rPr>
                <w:rFonts w:hint="eastAsia" w:ascii="宋体" w:hAnsi="宋体" w:cs="宋体"/>
                <w:b/>
                <w:kern w:val="0"/>
                <w:szCs w:val="21"/>
              </w:rPr>
              <w:t>教学内容：</w:t>
            </w:r>
            <w:r>
              <w:rPr>
                <w:rFonts w:hint="eastAsia" w:ascii="宋体" w:hAnsi="宋体" w:cs="宋体"/>
                <w:kern w:val="0"/>
                <w:szCs w:val="21"/>
              </w:rPr>
              <w:t>本课程主要包含：（</w:t>
            </w:r>
            <w:r>
              <w:rPr>
                <w:rFonts w:hint="eastAsia" w:ascii="Times New Roman" w:hAnsi="Times New Roman" w:cs="宋体"/>
                <w:kern w:val="0"/>
                <w:szCs w:val="21"/>
              </w:rPr>
              <w:t>1</w:t>
            </w:r>
            <w:r>
              <w:rPr>
                <w:rFonts w:hint="eastAsia" w:ascii="宋体" w:hAnsi="宋体" w:cs="宋体"/>
                <w:kern w:val="0"/>
                <w:szCs w:val="21"/>
              </w:rPr>
              <w:t>）大学公益劳动（劳动周）部分包含社会主义劳动观教育、校园劳动、社区公益劳动、志愿服务劳动、家庭生活劳动、工农业生产劳动、劳动工具使用、劳动方法、劳动协作、劳动技能训练、劳动安全与保护等。（</w:t>
            </w:r>
            <w:r>
              <w:rPr>
                <w:rFonts w:hint="eastAsia" w:ascii="Times New Roman" w:hAnsi="Times New Roman" w:cs="宋体"/>
                <w:kern w:val="0"/>
                <w:szCs w:val="21"/>
              </w:rPr>
              <w:t>2</w:t>
            </w:r>
            <w:r>
              <w:rPr>
                <w:rFonts w:hint="eastAsia" w:ascii="宋体" w:hAnsi="宋体" w:cs="宋体"/>
                <w:kern w:val="0"/>
                <w:szCs w:val="21"/>
              </w:rPr>
              <w:t>）创新创业实践部分以实践流程为主线，包含情景引导、团队思考、知识学习、案例分析、项目实战等创新创业项目训练，以及创新思维训练、创业项目计划书撰写、专业技能与创新创业融合训练、商业转化训练等。（</w:t>
            </w:r>
            <w:r>
              <w:rPr>
                <w:rFonts w:hint="eastAsia" w:ascii="Times New Roman" w:hAnsi="Times New Roman" w:cs="宋体"/>
                <w:kern w:val="0"/>
                <w:szCs w:val="21"/>
              </w:rPr>
              <w:t>3</w:t>
            </w:r>
            <w:r>
              <w:rPr>
                <w:rFonts w:hint="eastAsia" w:ascii="宋体" w:hAnsi="宋体" w:cs="宋体"/>
                <w:kern w:val="0"/>
                <w:szCs w:val="21"/>
              </w:rPr>
              <w:t>）毕业顶岗的生产性劳动部分包含企业生产岗位与工作流程认知、岗位操作技能训练、岗位团队合作训练、解决生产劳动难题训练等。</w:t>
            </w:r>
          </w:p>
          <w:p>
            <w:pPr>
              <w:pStyle w:val="15"/>
              <w:ind w:firstLine="422" w:firstLineChars="200"/>
              <w:contextualSpacing/>
              <w:rPr>
                <w:b/>
                <w:bCs/>
                <w:color w:val="000000"/>
                <w:kern w:val="0"/>
                <w:szCs w:val="21"/>
              </w:rPr>
            </w:pPr>
            <w:r>
              <w:rPr>
                <w:rFonts w:hint="eastAsia" w:ascii="宋体" w:hAnsi="宋体" w:cs="宋体"/>
                <w:b/>
                <w:kern w:val="0"/>
                <w:szCs w:val="21"/>
              </w:rPr>
              <w:t>教学要求：</w:t>
            </w:r>
            <w:r>
              <w:rPr>
                <w:rFonts w:hint="eastAsia" w:ascii="宋体" w:hAnsi="宋体" w:cs="宋体"/>
                <w:kern w:val="0"/>
                <w:szCs w:val="21"/>
              </w:rPr>
              <w:t>通过本课程学习，使学生了解实施劳动教育的重要意义和劳动教育的基本内容，掌握劳动工具使用方法、劳动流程、劳动法制、劳动安全保护、创新思维与方法、创业政策与方法、岗位生产劳动的方法，运用专业知识和劳动技能提高生产劳动效率，提升创造性思维能力、批判性思维能力、合作协作能力、沟通交流能力和创造性、高效率解决生产劳动实际问题的能力，培养社会主义劳动观、创新精神、工匠精神。使学生在实践中受到教育，在创新中增长才干，在实践中提高素质，为学生全面发展搭建服务平台。</w:t>
            </w:r>
          </w:p>
        </w:tc>
        <w:tc>
          <w:tcPr>
            <w:tcW w:w="541" w:type="dxa"/>
            <w:shd w:val="clear" w:color="auto" w:fill="auto"/>
            <w:vAlign w:val="center"/>
          </w:tcPr>
          <w:p>
            <w:pPr>
              <w:pStyle w:val="15"/>
              <w:contextualSpacing/>
              <w:jc w:val="center"/>
              <w:rPr>
                <w:szCs w:val="21"/>
              </w:rPr>
            </w:pPr>
            <w:r>
              <w:rPr>
                <w:rFonts w:hint="eastAsia" w:ascii="Times New Roman" w:hAnsi="Times New Roman"/>
                <w:szCs w:val="21"/>
              </w:rPr>
              <w:t>5</w:t>
            </w:r>
            <w:r>
              <w:rPr>
                <w:rFonts w:ascii="Times New Roman" w:hAnsi="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kern w:val="0"/>
                <w:szCs w:val="21"/>
              </w:rPr>
              <w:t>12</w:t>
            </w:r>
          </w:p>
        </w:tc>
        <w:tc>
          <w:tcPr>
            <w:tcW w:w="1110" w:type="dxa"/>
            <w:shd w:val="clear" w:color="auto" w:fill="auto"/>
            <w:vAlign w:val="center"/>
          </w:tcPr>
          <w:p>
            <w:pPr>
              <w:pStyle w:val="15"/>
              <w:contextualSpacing/>
              <w:rPr>
                <w:rFonts w:eastAsia="楷体_GB2312"/>
                <w:color w:val="000000"/>
                <w:kern w:val="0"/>
                <w:szCs w:val="21"/>
              </w:rPr>
            </w:pPr>
            <w:r>
              <w:rPr>
                <w:kern w:val="0"/>
                <w:szCs w:val="21"/>
              </w:rPr>
              <w:t>顶岗实习(测量、试验、施工等)</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为了使教学与生产实际更好地结合，培养学生的实际应用能力，安排学生到苏交科集团股份有限公司或相关路桥建设单位顶岗实习和学习，主要从事路桥施工、工程检测、工程测量、工程监理、造价编制等工作。</w:t>
            </w:r>
          </w:p>
          <w:p>
            <w:pPr>
              <w:pStyle w:val="15"/>
              <w:ind w:firstLine="420" w:firstLineChars="200"/>
              <w:contextualSpacing/>
              <w:rPr>
                <w:color w:val="000000"/>
                <w:kern w:val="0"/>
                <w:szCs w:val="21"/>
              </w:rPr>
            </w:pPr>
            <w:r>
              <w:rPr>
                <w:color w:val="000000"/>
                <w:kern w:val="0"/>
                <w:szCs w:val="21"/>
              </w:rPr>
              <w:t>实习期间，要求学生以技术人员的身份，深入生产第一线，在现场顶班实习，担任一定的实际专业工作。在实习过程中，了解工作环境及常规工作要求，运用所学的知识，解决工程实际问题，检验并提高自己的实践应用能力和技术水平，学习实际生产中应用的新技术、新设备、新材料和新工艺等。</w:t>
            </w:r>
          </w:p>
          <w:p>
            <w:pPr>
              <w:pStyle w:val="15"/>
              <w:ind w:firstLine="420" w:firstLineChars="200"/>
              <w:contextualSpacing/>
              <w:rPr>
                <w:color w:val="000000"/>
                <w:kern w:val="0"/>
                <w:szCs w:val="21"/>
              </w:rPr>
            </w:pPr>
            <w:r>
              <w:rPr>
                <w:color w:val="000000"/>
                <w:kern w:val="0"/>
                <w:szCs w:val="21"/>
              </w:rPr>
              <w:t>生产实习内容可根据各实习点的具体情况，有所选择和侧重，条件许可时，应让学生适当轮岗或现场参观。</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综合生产实习单独考核，考核成绩列入成绩册。无故不参加实习者，按旷课处理。参加时间不足</w:t>
            </w:r>
            <w:r>
              <w:rPr>
                <w:rFonts w:ascii="Times New Roman" w:hAnsi="Times New Roman"/>
                <w:color w:val="000000"/>
                <w:kern w:val="0"/>
                <w:szCs w:val="21"/>
              </w:rPr>
              <w:t>2</w:t>
            </w:r>
            <w:r>
              <w:rPr>
                <w:color w:val="000000"/>
                <w:kern w:val="0"/>
                <w:szCs w:val="21"/>
              </w:rPr>
              <w:t>/</w:t>
            </w:r>
            <w:r>
              <w:rPr>
                <w:rFonts w:ascii="Times New Roman" w:hAnsi="Times New Roman"/>
                <w:color w:val="000000"/>
                <w:kern w:val="0"/>
                <w:szCs w:val="21"/>
              </w:rPr>
              <w:t>3</w:t>
            </w:r>
            <w:r>
              <w:rPr>
                <w:color w:val="000000"/>
                <w:kern w:val="0"/>
                <w:szCs w:val="21"/>
              </w:rPr>
              <w:t>者，即按不及格计。</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shd w:val="clear" w:color="auto" w:fill="auto"/>
            <w:vAlign w:val="center"/>
          </w:tcPr>
          <w:p>
            <w:pPr>
              <w:pStyle w:val="15"/>
              <w:contextualSpacing/>
              <w:jc w:val="center"/>
              <w:rPr>
                <w:rFonts w:eastAsia="楷体_GB2312"/>
                <w:color w:val="000000"/>
                <w:kern w:val="0"/>
                <w:szCs w:val="21"/>
              </w:rPr>
            </w:pPr>
            <w:r>
              <w:rPr>
                <w:rFonts w:ascii="Times New Roman" w:hAnsi="Times New Roman" w:eastAsia="楷体_GB2312"/>
                <w:color w:val="000000"/>
                <w:kern w:val="0"/>
                <w:szCs w:val="21"/>
              </w:rPr>
              <w:t>13</w:t>
            </w:r>
          </w:p>
        </w:tc>
        <w:tc>
          <w:tcPr>
            <w:tcW w:w="1110" w:type="dxa"/>
            <w:shd w:val="clear" w:color="auto" w:fill="auto"/>
            <w:vAlign w:val="center"/>
          </w:tcPr>
          <w:p>
            <w:pPr>
              <w:pStyle w:val="15"/>
              <w:contextualSpacing/>
              <w:rPr>
                <w:rFonts w:eastAsia="楷体_GB2312"/>
                <w:color w:val="000000"/>
                <w:kern w:val="0"/>
                <w:szCs w:val="21"/>
              </w:rPr>
            </w:pPr>
            <w:r>
              <w:rPr>
                <w:kern w:val="0"/>
                <w:szCs w:val="21"/>
              </w:rPr>
              <w:t>毕业设计（论文）与答辩</w:t>
            </w:r>
          </w:p>
        </w:tc>
        <w:tc>
          <w:tcPr>
            <w:tcW w:w="6450" w:type="dxa"/>
            <w:shd w:val="clear" w:color="auto" w:fill="auto"/>
            <w:vAlign w:val="center"/>
          </w:tcPr>
          <w:p>
            <w:pPr>
              <w:pStyle w:val="15"/>
              <w:ind w:firstLine="422" w:firstLineChars="200"/>
              <w:contextualSpacing/>
              <w:rPr>
                <w:color w:val="000000"/>
                <w:kern w:val="0"/>
                <w:szCs w:val="21"/>
              </w:rPr>
            </w:pPr>
            <w:r>
              <w:rPr>
                <w:b/>
                <w:bCs/>
                <w:color w:val="000000"/>
                <w:kern w:val="0"/>
                <w:szCs w:val="21"/>
              </w:rPr>
              <w:t>教学内容：</w:t>
            </w:r>
            <w:r>
              <w:rPr>
                <w:color w:val="000000"/>
                <w:kern w:val="0"/>
                <w:szCs w:val="21"/>
              </w:rPr>
              <w:t>论文题目可结合生产给出或自拟，以路或桥为主，在已学的专业知识基础上结合生产实习内容，撰写与工程实践相关内容的文章，要求有独到的见解与论点。</w:t>
            </w:r>
          </w:p>
          <w:p>
            <w:pPr>
              <w:pStyle w:val="15"/>
              <w:ind w:firstLine="420" w:firstLineChars="200"/>
              <w:contextualSpacing/>
              <w:rPr>
                <w:color w:val="000000"/>
                <w:kern w:val="0"/>
                <w:szCs w:val="21"/>
              </w:rPr>
            </w:pPr>
            <w:r>
              <w:rPr>
                <w:color w:val="000000"/>
                <w:kern w:val="0"/>
                <w:szCs w:val="21"/>
              </w:rPr>
              <w:t>学生在完成毕业设计(论文)后参加公开答辩，答辩成绩作为评价毕业设计(论文)成绩的依据之一。</w:t>
            </w:r>
          </w:p>
          <w:p>
            <w:pPr>
              <w:pStyle w:val="15"/>
              <w:ind w:firstLine="422" w:firstLineChars="200"/>
              <w:contextualSpacing/>
              <w:rPr>
                <w:color w:val="000000"/>
                <w:kern w:val="0"/>
                <w:szCs w:val="21"/>
              </w:rPr>
            </w:pPr>
            <w:r>
              <w:rPr>
                <w:b/>
                <w:bCs/>
                <w:color w:val="000000"/>
                <w:kern w:val="0"/>
                <w:szCs w:val="21"/>
              </w:rPr>
              <w:t>教学要求：</w:t>
            </w:r>
            <w:r>
              <w:rPr>
                <w:color w:val="000000"/>
                <w:kern w:val="0"/>
                <w:szCs w:val="21"/>
              </w:rPr>
              <w:t>指导老师应做好毕业设计(论文)的指导和答疑工作，同时做好指导日志，并记录各阶段完成情况和学生表现。每组指导人数为</w:t>
            </w:r>
            <w:r>
              <w:rPr>
                <w:rFonts w:ascii="Times New Roman" w:hAnsi="Times New Roman"/>
                <w:color w:val="000000"/>
                <w:kern w:val="0"/>
                <w:szCs w:val="21"/>
              </w:rPr>
              <w:t>8</w:t>
            </w:r>
            <w:r>
              <w:rPr>
                <w:color w:val="000000"/>
                <w:kern w:val="0"/>
                <w:szCs w:val="21"/>
              </w:rPr>
              <w:t>-</w:t>
            </w:r>
            <w:r>
              <w:rPr>
                <w:rFonts w:ascii="Times New Roman" w:hAnsi="Times New Roman"/>
                <w:color w:val="000000"/>
                <w:kern w:val="0"/>
                <w:szCs w:val="21"/>
              </w:rPr>
              <w:t>12</w:t>
            </w:r>
            <w:r>
              <w:rPr>
                <w:color w:val="000000"/>
                <w:kern w:val="0"/>
                <w:szCs w:val="21"/>
              </w:rPr>
              <w:t>人。</w:t>
            </w:r>
          </w:p>
          <w:p>
            <w:pPr>
              <w:pStyle w:val="15"/>
              <w:ind w:firstLine="420" w:firstLineChars="200"/>
              <w:contextualSpacing/>
              <w:rPr>
                <w:color w:val="000000"/>
                <w:kern w:val="0"/>
                <w:szCs w:val="21"/>
              </w:rPr>
            </w:pPr>
            <w:r>
              <w:rPr>
                <w:color w:val="000000"/>
                <w:kern w:val="0"/>
                <w:szCs w:val="21"/>
              </w:rPr>
              <w:t>每个学生必须独立完成任务书中规定的内容，整理成册，准备参加答辩。答辩小组可由指导教师和外聘专家组成，每组</w:t>
            </w:r>
            <w:r>
              <w:rPr>
                <w:rFonts w:ascii="Times New Roman" w:hAnsi="Times New Roman"/>
                <w:color w:val="000000"/>
                <w:kern w:val="0"/>
                <w:szCs w:val="21"/>
              </w:rPr>
              <w:t>3</w:t>
            </w:r>
            <w:r>
              <w:rPr>
                <w:color w:val="000000"/>
                <w:kern w:val="0"/>
                <w:szCs w:val="21"/>
              </w:rPr>
              <w:t>-</w:t>
            </w:r>
            <w:r>
              <w:rPr>
                <w:rFonts w:ascii="Times New Roman" w:hAnsi="Times New Roman"/>
                <w:color w:val="000000"/>
                <w:kern w:val="0"/>
                <w:szCs w:val="21"/>
              </w:rPr>
              <w:t>5</w:t>
            </w:r>
            <w:r>
              <w:rPr>
                <w:color w:val="000000"/>
                <w:kern w:val="0"/>
                <w:szCs w:val="21"/>
              </w:rPr>
              <w:t>人。答辩时，要求学生在规定的时间内对设计(论文)的指导思想、论点、论据或方案和选定方案的科学性、合理性作简要介绍。答辩内容应为课题中的关键问题及与课题密切相关的基础知识、基本理论、基本技能等。</w:t>
            </w:r>
          </w:p>
          <w:p>
            <w:pPr>
              <w:pStyle w:val="15"/>
              <w:ind w:firstLine="420" w:firstLineChars="200"/>
              <w:contextualSpacing/>
              <w:rPr>
                <w:color w:val="000000"/>
                <w:kern w:val="0"/>
                <w:szCs w:val="21"/>
              </w:rPr>
            </w:pPr>
            <w:r>
              <w:rPr>
                <w:color w:val="000000"/>
                <w:kern w:val="0"/>
                <w:szCs w:val="21"/>
              </w:rPr>
              <w:t>毕业设计(论文)成绩评定应着重考查七个方面：</w:t>
            </w:r>
          </w:p>
          <w:p>
            <w:pPr>
              <w:pStyle w:val="15"/>
              <w:ind w:firstLine="420" w:firstLineChars="200"/>
              <w:contextualSpacing/>
              <w:rPr>
                <w:color w:val="000000"/>
                <w:kern w:val="0"/>
                <w:szCs w:val="21"/>
              </w:rPr>
            </w:pPr>
            <w:r>
              <w:rPr>
                <w:rFonts w:hint="eastAsia" w:ascii="宋体" w:hAnsi="宋体" w:cs="宋体"/>
                <w:color w:val="000000"/>
                <w:kern w:val="0"/>
                <w:szCs w:val="21"/>
              </w:rPr>
              <w:t>①</w:t>
            </w:r>
            <w:r>
              <w:rPr>
                <w:color w:val="000000"/>
                <w:kern w:val="0"/>
                <w:szCs w:val="21"/>
              </w:rPr>
              <w:t xml:space="preserve"> 是否按期完成课题规定的全部任务；</w:t>
            </w:r>
          </w:p>
          <w:p>
            <w:pPr>
              <w:pStyle w:val="15"/>
              <w:ind w:firstLine="420" w:firstLineChars="200"/>
              <w:contextualSpacing/>
              <w:rPr>
                <w:color w:val="000000"/>
                <w:kern w:val="0"/>
                <w:szCs w:val="21"/>
              </w:rPr>
            </w:pPr>
            <w:r>
              <w:rPr>
                <w:rFonts w:hint="eastAsia" w:ascii="宋体" w:hAnsi="宋体" w:cs="宋体"/>
                <w:color w:val="000000"/>
                <w:kern w:val="0"/>
                <w:szCs w:val="21"/>
              </w:rPr>
              <w:t>②</w:t>
            </w:r>
            <w:r>
              <w:rPr>
                <w:color w:val="000000"/>
                <w:kern w:val="0"/>
                <w:szCs w:val="21"/>
              </w:rPr>
              <w:t xml:space="preserve"> 课题完成的质量，包括设计方案是否合理，论证是否正确，资料的运用和综合分析能力等；</w:t>
            </w:r>
          </w:p>
          <w:p>
            <w:pPr>
              <w:pStyle w:val="15"/>
              <w:ind w:firstLine="420" w:firstLineChars="200"/>
              <w:contextualSpacing/>
              <w:rPr>
                <w:color w:val="000000"/>
                <w:kern w:val="0"/>
                <w:szCs w:val="21"/>
              </w:rPr>
            </w:pPr>
            <w:r>
              <w:rPr>
                <w:rFonts w:hint="eastAsia" w:ascii="宋体" w:hAnsi="宋体" w:cs="宋体"/>
                <w:color w:val="000000"/>
                <w:kern w:val="0"/>
                <w:szCs w:val="21"/>
              </w:rPr>
              <w:t>③</w:t>
            </w:r>
            <w:r>
              <w:rPr>
                <w:color w:val="000000"/>
                <w:kern w:val="0"/>
                <w:szCs w:val="21"/>
              </w:rPr>
              <w:t xml:space="preserve"> 能否充分运用所学的基础知识和基本理论，独立分析和解决实际问题；</w:t>
            </w:r>
          </w:p>
          <w:p>
            <w:pPr>
              <w:pStyle w:val="15"/>
              <w:ind w:firstLine="420" w:firstLineChars="200"/>
              <w:contextualSpacing/>
              <w:rPr>
                <w:color w:val="000000"/>
                <w:kern w:val="0"/>
                <w:szCs w:val="21"/>
              </w:rPr>
            </w:pPr>
            <w:r>
              <w:rPr>
                <w:rFonts w:hint="eastAsia" w:ascii="宋体" w:hAnsi="宋体" w:cs="宋体"/>
                <w:color w:val="000000"/>
                <w:kern w:val="0"/>
                <w:szCs w:val="21"/>
              </w:rPr>
              <w:t>④</w:t>
            </w:r>
            <w:r>
              <w:rPr>
                <w:color w:val="000000"/>
                <w:kern w:val="0"/>
                <w:szCs w:val="21"/>
              </w:rPr>
              <w:t xml:space="preserve"> 计算和实验数据的精确程度；</w:t>
            </w:r>
          </w:p>
          <w:p>
            <w:pPr>
              <w:pStyle w:val="15"/>
              <w:ind w:firstLine="420" w:firstLineChars="200"/>
              <w:contextualSpacing/>
              <w:rPr>
                <w:color w:val="000000"/>
                <w:kern w:val="0"/>
                <w:szCs w:val="21"/>
              </w:rPr>
            </w:pPr>
            <w:r>
              <w:rPr>
                <w:rFonts w:hint="eastAsia" w:ascii="宋体" w:hAnsi="宋体" w:cs="宋体"/>
                <w:color w:val="000000"/>
                <w:kern w:val="0"/>
                <w:szCs w:val="21"/>
              </w:rPr>
              <w:t>⑤</w:t>
            </w:r>
            <w:r>
              <w:rPr>
                <w:color w:val="000000"/>
                <w:kern w:val="0"/>
                <w:szCs w:val="21"/>
              </w:rPr>
              <w:t xml:space="preserve"> 图纸质量；</w:t>
            </w:r>
          </w:p>
          <w:p>
            <w:pPr>
              <w:pStyle w:val="15"/>
              <w:ind w:firstLine="420" w:firstLineChars="200"/>
              <w:contextualSpacing/>
              <w:rPr>
                <w:color w:val="000000"/>
                <w:kern w:val="0"/>
                <w:szCs w:val="21"/>
              </w:rPr>
            </w:pPr>
            <w:r>
              <w:rPr>
                <w:rFonts w:hint="eastAsia" w:ascii="宋体" w:hAnsi="宋体" w:cs="宋体"/>
                <w:color w:val="000000"/>
                <w:kern w:val="0"/>
                <w:szCs w:val="21"/>
              </w:rPr>
              <w:t>⑥</w:t>
            </w:r>
            <w:r>
              <w:rPr>
                <w:color w:val="000000"/>
                <w:kern w:val="0"/>
                <w:szCs w:val="21"/>
              </w:rPr>
              <w:t xml:space="preserve"> 文字表达是否正确、精练、通顺，书写是否工整；</w:t>
            </w:r>
          </w:p>
          <w:p>
            <w:pPr>
              <w:pStyle w:val="15"/>
              <w:ind w:firstLine="420" w:firstLineChars="200"/>
              <w:contextualSpacing/>
              <w:rPr>
                <w:color w:val="000000"/>
                <w:kern w:val="0"/>
                <w:szCs w:val="21"/>
              </w:rPr>
            </w:pPr>
            <w:r>
              <w:rPr>
                <w:rFonts w:hint="eastAsia" w:ascii="宋体" w:hAnsi="宋体" w:cs="宋体"/>
                <w:color w:val="000000"/>
                <w:kern w:val="0"/>
                <w:szCs w:val="21"/>
              </w:rPr>
              <w:t>⑦</w:t>
            </w:r>
            <w:r>
              <w:rPr>
                <w:color w:val="000000"/>
                <w:kern w:val="0"/>
                <w:szCs w:val="21"/>
              </w:rPr>
              <w:t xml:space="preserve"> 答辩时能否正确地回答与课题相关的问题。</w:t>
            </w:r>
          </w:p>
          <w:p>
            <w:pPr>
              <w:pStyle w:val="15"/>
              <w:ind w:firstLine="420" w:firstLineChars="200"/>
              <w:contextualSpacing/>
              <w:rPr>
                <w:color w:val="000000"/>
                <w:kern w:val="0"/>
                <w:szCs w:val="21"/>
              </w:rPr>
            </w:pPr>
            <w:r>
              <w:rPr>
                <w:color w:val="000000"/>
                <w:kern w:val="0"/>
                <w:szCs w:val="21"/>
              </w:rPr>
              <w:t>毕业设计（或毕业论文）成绩单独列入学生成绩册。</w:t>
            </w:r>
          </w:p>
        </w:tc>
        <w:tc>
          <w:tcPr>
            <w:tcW w:w="541" w:type="dxa"/>
            <w:shd w:val="clear" w:color="auto" w:fill="auto"/>
            <w:vAlign w:val="center"/>
          </w:tcPr>
          <w:p>
            <w:pPr>
              <w:pStyle w:val="15"/>
              <w:contextualSpacing/>
              <w:jc w:val="center"/>
              <w:rPr>
                <w:rFonts w:eastAsia="楷体_GB2312"/>
                <w:color w:val="000000"/>
                <w:kern w:val="0"/>
                <w:szCs w:val="21"/>
              </w:rPr>
            </w:pPr>
            <w:r>
              <w:rPr>
                <w:rFonts w:ascii="Times New Roman" w:hAnsi="Times New Roman"/>
                <w:szCs w:val="21"/>
              </w:rPr>
              <w:t>224</w:t>
            </w:r>
          </w:p>
        </w:tc>
      </w:tr>
    </w:tbl>
    <w:p>
      <w:pPr>
        <w:keepNext w:val="0"/>
        <w:keepLines w:val="0"/>
        <w:pageBreakBefore w:val="0"/>
        <w:widowControl w:val="0"/>
        <w:kinsoku/>
        <w:wordWrap/>
        <w:overflowPunct w:val="0"/>
        <w:topLinePunct w:val="0"/>
        <w:autoSpaceDE/>
        <w:autoSpaceDN/>
        <w:bidi w:val="0"/>
        <w:adjustRightInd w:val="0"/>
        <w:snapToGrid/>
        <w:spacing w:before="157" w:beforeLines="50"/>
        <w:textAlignment w:val="auto"/>
        <w:outlineLvl w:val="0"/>
        <w:rPr>
          <w:b/>
          <w:bCs/>
          <w:sz w:val="28"/>
        </w:rPr>
      </w:pPr>
      <w:r>
        <w:rPr>
          <w:rFonts w:hint="eastAsia"/>
          <w:b/>
          <w:bCs/>
          <w:sz w:val="28"/>
          <w:lang w:val="en-US" w:eastAsia="zh-CN"/>
        </w:rPr>
        <w:t>七</w:t>
      </w:r>
      <w:r>
        <w:rPr>
          <w:b/>
          <w:bCs/>
          <w:sz w:val="28"/>
        </w:rPr>
        <w:t>、教学进程总体安排</w:t>
      </w:r>
    </w:p>
    <w:p>
      <w:pPr>
        <w:spacing w:line="360" w:lineRule="auto"/>
        <w:ind w:firstLine="480" w:firstLineChars="200"/>
        <w:contextualSpacing/>
        <w:rPr>
          <w:sz w:val="24"/>
        </w:rPr>
      </w:pPr>
      <w:r>
        <w:rPr>
          <w:sz w:val="24"/>
        </w:rPr>
        <w:t>教学进程是对本专业技术技能人才培养、教育教学实施进程的总体安排，是专业人才培养方案实施的具体体现，具体见附表（教学进程安排表）。</w:t>
      </w:r>
    </w:p>
    <w:p>
      <w:pPr>
        <w:spacing w:line="360" w:lineRule="auto"/>
        <w:ind w:firstLine="480" w:firstLineChars="200"/>
        <w:contextualSpacing/>
        <w:rPr>
          <w:sz w:val="24"/>
        </w:rPr>
      </w:pPr>
      <w:r>
        <w:rPr>
          <w:sz w:val="24"/>
        </w:rPr>
        <w:t>总学分</w:t>
      </w:r>
      <w:r>
        <w:rPr>
          <w:rFonts w:ascii="Times New Roman" w:hAnsi="Times New Roman"/>
          <w:sz w:val="24"/>
        </w:rPr>
        <w:t>19</w:t>
      </w:r>
      <w:r>
        <w:rPr>
          <w:rFonts w:hint="eastAsia" w:ascii="Times New Roman" w:hAnsi="Times New Roman"/>
          <w:sz w:val="24"/>
          <w:lang w:val="en-US" w:eastAsia="zh-CN"/>
        </w:rPr>
        <w:t>6</w:t>
      </w:r>
      <w:r>
        <w:rPr>
          <w:sz w:val="24"/>
        </w:rPr>
        <w:t>.</w:t>
      </w:r>
      <w:r>
        <w:rPr>
          <w:rFonts w:ascii="Times New Roman" w:hAnsi="Times New Roman"/>
          <w:sz w:val="24"/>
        </w:rPr>
        <w:t>5</w:t>
      </w:r>
      <w:r>
        <w:rPr>
          <w:sz w:val="24"/>
        </w:rPr>
        <w:t>学分。其中必修课</w:t>
      </w:r>
      <w:r>
        <w:rPr>
          <w:rFonts w:ascii="Times New Roman" w:hAnsi="Times New Roman"/>
          <w:sz w:val="24"/>
        </w:rPr>
        <w:t>1</w:t>
      </w:r>
      <w:r>
        <w:rPr>
          <w:rFonts w:hint="eastAsia" w:ascii="Times New Roman" w:hAnsi="Times New Roman"/>
          <w:sz w:val="24"/>
          <w:lang w:val="en-US" w:eastAsia="zh-CN"/>
        </w:rPr>
        <w:t>70</w:t>
      </w:r>
      <w:r>
        <w:rPr>
          <w:sz w:val="24"/>
        </w:rPr>
        <w:t>.</w:t>
      </w:r>
      <w:r>
        <w:rPr>
          <w:rFonts w:ascii="Times New Roman" w:hAnsi="Times New Roman"/>
          <w:sz w:val="24"/>
        </w:rPr>
        <w:t>5</w:t>
      </w:r>
      <w:r>
        <w:rPr>
          <w:sz w:val="24"/>
        </w:rPr>
        <w:t>学分，选修课程（含限选和任选）</w:t>
      </w:r>
      <w:r>
        <w:rPr>
          <w:rFonts w:ascii="Times New Roman" w:hAnsi="Times New Roman"/>
          <w:sz w:val="24"/>
        </w:rPr>
        <w:t>2</w:t>
      </w:r>
      <w:r>
        <w:rPr>
          <w:rFonts w:hint="eastAsia" w:ascii="Times New Roman" w:hAnsi="Times New Roman"/>
          <w:sz w:val="24"/>
          <w:lang w:val="en-US" w:eastAsia="zh-CN"/>
        </w:rPr>
        <w:t>6</w:t>
      </w:r>
      <w:r>
        <w:rPr>
          <w:sz w:val="24"/>
        </w:rPr>
        <w:t>学分。总学时为</w:t>
      </w:r>
      <w:r>
        <w:rPr>
          <w:rFonts w:ascii="Times New Roman" w:hAnsi="Times New Roman"/>
          <w:sz w:val="24"/>
        </w:rPr>
        <w:t>3</w:t>
      </w:r>
      <w:r>
        <w:rPr>
          <w:rFonts w:hint="eastAsia" w:ascii="Times New Roman" w:hAnsi="Times New Roman"/>
          <w:sz w:val="24"/>
          <w:lang w:val="en-US" w:eastAsia="zh-CN"/>
        </w:rPr>
        <w:t>702</w:t>
      </w:r>
      <w:r>
        <w:rPr>
          <w:sz w:val="24"/>
        </w:rPr>
        <w:t>学时，其中公共基础课学时占总学时的</w:t>
      </w:r>
      <w:r>
        <w:rPr>
          <w:rFonts w:hint="eastAsia" w:ascii="Times New Roman" w:hAnsi="Times New Roman"/>
          <w:sz w:val="24"/>
          <w:lang w:val="en-US" w:eastAsia="zh-CN"/>
        </w:rPr>
        <w:t>20</w:t>
      </w:r>
      <w:r>
        <w:rPr>
          <w:rFonts w:hint="eastAsia"/>
          <w:sz w:val="24"/>
          <w:lang w:val="en-US" w:eastAsia="zh-CN"/>
        </w:rPr>
        <w:t>.</w:t>
      </w:r>
      <w:r>
        <w:rPr>
          <w:rFonts w:hint="eastAsia" w:ascii="Times New Roman" w:hAnsi="Times New Roman"/>
          <w:sz w:val="24"/>
          <w:lang w:val="en-US" w:eastAsia="zh-CN"/>
        </w:rPr>
        <w:t>4</w:t>
      </w:r>
      <w:r>
        <w:rPr>
          <w:sz w:val="24"/>
        </w:rPr>
        <w:t>%，实践教学学时占总学时的</w:t>
      </w:r>
      <w:r>
        <w:rPr>
          <w:rFonts w:ascii="Times New Roman" w:hAnsi="Times New Roman"/>
          <w:sz w:val="24"/>
        </w:rPr>
        <w:t>4</w:t>
      </w:r>
      <w:r>
        <w:rPr>
          <w:rFonts w:hint="eastAsia" w:ascii="Times New Roman" w:hAnsi="Times New Roman"/>
          <w:sz w:val="24"/>
          <w:lang w:val="en-US" w:eastAsia="zh-CN"/>
        </w:rPr>
        <w:t>6</w:t>
      </w:r>
      <w:r>
        <w:rPr>
          <w:rFonts w:hint="eastAsia"/>
          <w:sz w:val="24"/>
          <w:lang w:val="en-US" w:eastAsia="zh-CN"/>
        </w:rPr>
        <w:t>.</w:t>
      </w:r>
      <w:r>
        <w:rPr>
          <w:rFonts w:hint="eastAsia" w:ascii="Times New Roman" w:hAnsi="Times New Roman"/>
          <w:sz w:val="24"/>
          <w:lang w:val="en-US" w:eastAsia="zh-CN"/>
        </w:rPr>
        <w:t>4</w:t>
      </w:r>
      <w:r>
        <w:rPr>
          <w:sz w:val="24"/>
        </w:rPr>
        <w:t>%。</w:t>
      </w:r>
      <w:r>
        <w:rPr>
          <w:rFonts w:ascii="Times New Roman" w:hAnsi="Times New Roman"/>
          <w:sz w:val="24"/>
        </w:rPr>
        <w:t>A</w:t>
      </w:r>
      <w:r>
        <w:rPr>
          <w:sz w:val="24"/>
        </w:rPr>
        <w:t>类课（理论课）和</w:t>
      </w:r>
      <w:r>
        <w:rPr>
          <w:rFonts w:ascii="Times New Roman" w:hAnsi="Times New Roman"/>
          <w:sz w:val="24"/>
        </w:rPr>
        <w:t>B</w:t>
      </w:r>
      <w:r>
        <w:rPr>
          <w:sz w:val="24"/>
        </w:rPr>
        <w:t>类课（理论+实践课）统一按</w:t>
      </w:r>
      <w:r>
        <w:rPr>
          <w:rFonts w:ascii="Times New Roman" w:hAnsi="Times New Roman"/>
          <w:sz w:val="24"/>
        </w:rPr>
        <w:t>16</w:t>
      </w:r>
      <w:r>
        <w:rPr>
          <w:sz w:val="24"/>
        </w:rPr>
        <w:t>学时计</w:t>
      </w:r>
      <w:r>
        <w:rPr>
          <w:rFonts w:ascii="Times New Roman" w:hAnsi="Times New Roman"/>
          <w:sz w:val="24"/>
        </w:rPr>
        <w:t>1</w:t>
      </w:r>
      <w:r>
        <w:rPr>
          <w:sz w:val="24"/>
        </w:rPr>
        <w:t>学分，</w:t>
      </w:r>
      <w:r>
        <w:rPr>
          <w:rFonts w:ascii="Times New Roman" w:hAnsi="Times New Roman"/>
          <w:sz w:val="24"/>
        </w:rPr>
        <w:t>C</w:t>
      </w:r>
      <w:r>
        <w:rPr>
          <w:sz w:val="24"/>
        </w:rPr>
        <w:t>类课（实践课）每</w:t>
      </w:r>
      <w:r>
        <w:rPr>
          <w:rFonts w:ascii="Times New Roman" w:hAnsi="Times New Roman"/>
          <w:sz w:val="24"/>
        </w:rPr>
        <w:t>24</w:t>
      </w:r>
      <w:r>
        <w:rPr>
          <w:sz w:val="24"/>
        </w:rPr>
        <w:t>-</w:t>
      </w:r>
      <w:r>
        <w:rPr>
          <w:rFonts w:ascii="Times New Roman" w:hAnsi="Times New Roman"/>
          <w:sz w:val="24"/>
        </w:rPr>
        <w:t>28</w:t>
      </w:r>
      <w:r>
        <w:rPr>
          <w:sz w:val="24"/>
        </w:rPr>
        <w:t>学时（或</w:t>
      </w:r>
      <w:r>
        <w:rPr>
          <w:rFonts w:ascii="Times New Roman" w:hAnsi="Times New Roman"/>
          <w:sz w:val="24"/>
        </w:rPr>
        <w:t>1</w:t>
      </w:r>
      <w:r>
        <w:rPr>
          <w:sz w:val="24"/>
        </w:rPr>
        <w:t>周）折算</w:t>
      </w:r>
      <w:r>
        <w:rPr>
          <w:rFonts w:ascii="Times New Roman" w:hAnsi="Times New Roman"/>
          <w:sz w:val="24"/>
        </w:rPr>
        <w:t>1</w:t>
      </w:r>
      <w:r>
        <w:rPr>
          <w:sz w:val="24"/>
        </w:rPr>
        <w:t>学分。顶岗实习自第</w:t>
      </w:r>
      <w:r>
        <w:rPr>
          <w:rFonts w:ascii="Times New Roman" w:hAnsi="Times New Roman"/>
          <w:sz w:val="24"/>
        </w:rPr>
        <w:t>7</w:t>
      </w:r>
      <w:r>
        <w:rPr>
          <w:sz w:val="24"/>
        </w:rPr>
        <w:t>学期第</w:t>
      </w:r>
      <w:r>
        <w:rPr>
          <w:rFonts w:ascii="Times New Roman" w:hAnsi="Times New Roman"/>
          <w:sz w:val="24"/>
        </w:rPr>
        <w:t>11</w:t>
      </w:r>
      <w:r>
        <w:rPr>
          <w:sz w:val="24"/>
        </w:rPr>
        <w:t>周开始，自第</w:t>
      </w:r>
      <w:r>
        <w:rPr>
          <w:rFonts w:ascii="Times New Roman" w:hAnsi="Times New Roman"/>
          <w:sz w:val="24"/>
        </w:rPr>
        <w:t>8</w:t>
      </w:r>
      <w:r>
        <w:rPr>
          <w:sz w:val="24"/>
        </w:rPr>
        <w:t>学期第</w:t>
      </w:r>
      <w:r>
        <w:rPr>
          <w:rFonts w:ascii="Times New Roman" w:hAnsi="Times New Roman"/>
          <w:sz w:val="24"/>
        </w:rPr>
        <w:t>11</w:t>
      </w:r>
      <w:r>
        <w:rPr>
          <w:sz w:val="24"/>
        </w:rPr>
        <w:t>周结束，共计</w:t>
      </w:r>
      <w:r>
        <w:rPr>
          <w:rFonts w:ascii="Times New Roman" w:hAnsi="Times New Roman"/>
          <w:sz w:val="24"/>
        </w:rPr>
        <w:t>20</w:t>
      </w:r>
      <w:r>
        <w:rPr>
          <w:sz w:val="24"/>
        </w:rPr>
        <w:t>周。毕业论文（设计）与答辩原则上共安排</w:t>
      </w:r>
      <w:r>
        <w:rPr>
          <w:rFonts w:ascii="Times New Roman" w:hAnsi="Times New Roman"/>
          <w:sz w:val="24"/>
        </w:rPr>
        <w:t>8</w:t>
      </w:r>
      <w:r>
        <w:rPr>
          <w:sz w:val="24"/>
        </w:rPr>
        <w:t>周，安排在第</w:t>
      </w:r>
      <w:r>
        <w:rPr>
          <w:rFonts w:ascii="Times New Roman" w:hAnsi="Times New Roman"/>
          <w:sz w:val="24"/>
        </w:rPr>
        <w:t>8</w:t>
      </w:r>
      <w:r>
        <w:rPr>
          <w:sz w:val="24"/>
        </w:rPr>
        <w:t>学期进行。</w:t>
      </w:r>
    </w:p>
    <w:p>
      <w:pPr>
        <w:keepNext w:val="0"/>
        <w:keepLines w:val="0"/>
        <w:pageBreakBefore w:val="0"/>
        <w:widowControl w:val="0"/>
        <w:kinsoku/>
        <w:wordWrap/>
        <w:overflowPunct w:val="0"/>
        <w:topLinePunct w:val="0"/>
        <w:autoSpaceDE/>
        <w:autoSpaceDN/>
        <w:bidi w:val="0"/>
        <w:adjustRightInd w:val="0"/>
        <w:snapToGrid/>
        <w:spacing w:before="157" w:beforeLines="50"/>
        <w:textAlignment w:val="auto"/>
        <w:outlineLvl w:val="0"/>
        <w:rPr>
          <w:b/>
          <w:bCs/>
          <w:sz w:val="28"/>
        </w:rPr>
      </w:pPr>
      <w:r>
        <w:rPr>
          <w:rFonts w:hint="eastAsia"/>
          <w:b/>
          <w:bCs/>
          <w:sz w:val="28"/>
          <w:lang w:val="en-US" w:eastAsia="zh-CN"/>
        </w:rPr>
        <w:t>八</w:t>
      </w:r>
      <w:r>
        <w:rPr>
          <w:b/>
          <w:bCs/>
          <w:sz w:val="28"/>
        </w:rPr>
        <w:t>、实施保障</w:t>
      </w:r>
    </w:p>
    <w:p>
      <w:pPr>
        <w:overflowPunct w:val="0"/>
        <w:adjustRightInd w:val="0"/>
        <w:ind w:firstLine="562" w:firstLineChars="200"/>
        <w:outlineLvl w:val="0"/>
        <w:rPr>
          <w:b/>
          <w:bCs/>
          <w:sz w:val="28"/>
        </w:rPr>
      </w:pPr>
      <w:r>
        <w:rPr>
          <w:b/>
          <w:bCs/>
          <w:sz w:val="28"/>
        </w:rPr>
        <w:t>（一）师资队伍</w:t>
      </w:r>
    </w:p>
    <w:p>
      <w:pPr>
        <w:spacing w:line="360" w:lineRule="auto"/>
        <w:ind w:firstLine="480" w:firstLineChars="200"/>
        <w:contextualSpacing/>
        <w:rPr>
          <w:rFonts w:hint="default" w:ascii="宋体" w:hAnsi="宋体" w:eastAsia="宋体"/>
          <w:sz w:val="24"/>
          <w:lang w:val="en-US" w:eastAsia="zh-CN"/>
        </w:rPr>
      </w:pPr>
      <w:r>
        <w:rPr>
          <w:rFonts w:ascii="宋体" w:hAnsi="宋体"/>
          <w:sz w:val="24"/>
        </w:rPr>
        <w:t>为充分保障教学工作，路桥与港航工程学院成立了</w:t>
      </w:r>
      <w:r>
        <w:rPr>
          <w:rFonts w:hint="default" w:ascii="Times New Roman" w:hAnsi="Times New Roman" w:cs="Times New Roman"/>
          <w:sz w:val="24"/>
        </w:rPr>
        <w:t>由</w:t>
      </w:r>
      <w:r>
        <w:rPr>
          <w:rFonts w:hint="default" w:ascii="Times New Roman" w:hAnsi="Times New Roman" w:cs="Times New Roman"/>
          <w:sz w:val="24"/>
          <w:lang w:val="en-US" w:eastAsia="zh-CN"/>
        </w:rPr>
        <w:t>3名</w:t>
      </w:r>
      <w:r>
        <w:rPr>
          <w:rFonts w:hint="default" w:ascii="Times New Roman" w:hAnsi="Times New Roman" w:cs="Times New Roman"/>
          <w:sz w:val="24"/>
        </w:rPr>
        <w:t>教授、</w:t>
      </w:r>
      <w:r>
        <w:rPr>
          <w:rFonts w:hint="default" w:ascii="Times New Roman" w:hAnsi="Times New Roman" w:cs="Times New Roman"/>
          <w:sz w:val="24"/>
          <w:lang w:val="en-US" w:eastAsia="zh-CN"/>
        </w:rPr>
        <w:t>6名</w:t>
      </w:r>
      <w:r>
        <w:rPr>
          <w:rFonts w:hint="default" w:ascii="Times New Roman" w:hAnsi="Times New Roman" w:cs="Times New Roman"/>
          <w:sz w:val="24"/>
        </w:rPr>
        <w:t>博</w:t>
      </w:r>
      <w:r>
        <w:rPr>
          <w:rFonts w:ascii="宋体" w:hAnsi="宋体"/>
          <w:sz w:val="24"/>
        </w:rPr>
        <w:t>士为主体组成的交通土建教研室，开展专业课程的教学工作。师资团队聚集了国家“万人计划”教学名师、“交通运输部青年科技英才”、江苏省“</w:t>
      </w:r>
      <w:r>
        <w:rPr>
          <w:rFonts w:ascii="Times New Roman" w:hAnsi="Times New Roman"/>
          <w:sz w:val="24"/>
        </w:rPr>
        <w:t>333</w:t>
      </w:r>
      <w:r>
        <w:rPr>
          <w:rFonts w:ascii="宋体" w:hAnsi="宋体"/>
          <w:sz w:val="24"/>
        </w:rPr>
        <w:t>高层次人才”培养对象、江苏省“青蓝工程”中青年学术带头人、江苏省交通运输行业高层次领军人才</w:t>
      </w:r>
      <w:r>
        <w:rPr>
          <w:rFonts w:hint="eastAsia" w:ascii="宋体" w:hAnsi="宋体"/>
          <w:sz w:val="24"/>
        </w:rPr>
        <w:t>、江苏省交通</w:t>
      </w:r>
      <w:r>
        <w:rPr>
          <w:rFonts w:hint="eastAsia" w:ascii="宋体" w:hAnsi="宋体"/>
          <w:sz w:val="24"/>
          <w:lang w:val="en-US" w:eastAsia="zh-CN"/>
        </w:rPr>
        <w:t>运输</w:t>
      </w:r>
      <w:r>
        <w:rPr>
          <w:rFonts w:hint="eastAsia" w:ascii="宋体" w:hAnsi="宋体"/>
          <w:sz w:val="24"/>
        </w:rPr>
        <w:t>系统教学名师</w:t>
      </w:r>
      <w:r>
        <w:rPr>
          <w:rFonts w:ascii="宋体" w:hAnsi="宋体"/>
          <w:sz w:val="24"/>
        </w:rPr>
        <w:t>等一批骨干力量。</w:t>
      </w:r>
      <w:r>
        <w:rPr>
          <w:rFonts w:hint="eastAsia" w:ascii="宋体" w:hAnsi="宋体"/>
          <w:sz w:val="24"/>
          <w:lang w:val="en-US" w:eastAsia="zh-CN"/>
        </w:rPr>
        <w:t>多名成员是江苏省高校“青蓝工程”优秀教学团队、江苏省职业教育教师教学创新团队、江苏省交通运输行业技能大师工作室负责人及主要成员。</w:t>
      </w:r>
    </w:p>
    <w:p>
      <w:pPr>
        <w:spacing w:line="360" w:lineRule="auto"/>
        <w:ind w:firstLine="480" w:firstLineChars="200"/>
        <w:contextualSpacing/>
        <w:rPr>
          <w:sz w:val="24"/>
        </w:rPr>
      </w:pPr>
      <w:r>
        <w:rPr>
          <w:rFonts w:hint="eastAsia"/>
          <w:sz w:val="24"/>
        </w:rPr>
        <w:t>此外，合作企业苏交科集团等单位派出在本专业领域具有较高知名度和影响力的技术骨干与行业专家作为兼职教师，</w:t>
      </w:r>
      <w:r>
        <w:rPr>
          <w:rFonts w:hint="eastAsia"/>
          <w:sz w:val="24"/>
          <w:lang w:val="en-US" w:eastAsia="zh-CN"/>
        </w:rPr>
        <w:t>其中</w:t>
      </w:r>
      <w:r>
        <w:rPr>
          <w:rFonts w:hint="eastAsia" w:ascii="Times New Roman" w:hAnsi="Times New Roman"/>
          <w:sz w:val="24"/>
          <w:lang w:val="en-US" w:eastAsia="zh-CN"/>
        </w:rPr>
        <w:t>1</w:t>
      </w:r>
      <w:r>
        <w:rPr>
          <w:rFonts w:hint="eastAsia"/>
          <w:sz w:val="24"/>
          <w:lang w:val="en-US" w:eastAsia="zh-CN"/>
        </w:rPr>
        <w:t>名为江苏省产业教授，</w:t>
      </w:r>
      <w:r>
        <w:rPr>
          <w:rFonts w:hint="eastAsia"/>
          <w:sz w:val="24"/>
        </w:rPr>
        <w:t>与专任教师共同构建专兼结合的</w:t>
      </w:r>
      <w:r>
        <w:rPr>
          <w:rFonts w:hint="eastAsia"/>
          <w:sz w:val="24"/>
          <w:lang w:eastAsia="zh-CN"/>
        </w:rPr>
        <w:t>，</w:t>
      </w:r>
      <w:r>
        <w:rPr>
          <w:rFonts w:hint="eastAsia"/>
          <w:sz w:val="24"/>
          <w:lang w:val="en-US" w:eastAsia="zh-CN"/>
        </w:rPr>
        <w:t>且同时具备高超“教学、实践、科研”能力的</w:t>
      </w:r>
      <w:r>
        <w:rPr>
          <w:rFonts w:hint="eastAsia"/>
          <w:sz w:val="24"/>
        </w:rPr>
        <w:t>教学团队，共同承担</w:t>
      </w:r>
      <w:r>
        <w:rPr>
          <w:rFonts w:hint="eastAsia" w:ascii="Times New Roman" w:hAnsi="Times New Roman"/>
          <w:sz w:val="24"/>
        </w:rPr>
        <w:t>4</w:t>
      </w:r>
      <w:r>
        <w:rPr>
          <w:sz w:val="24"/>
        </w:rPr>
        <w:t>+</w:t>
      </w:r>
      <w:r>
        <w:rPr>
          <w:rFonts w:ascii="Times New Roman" w:hAnsi="Times New Roman"/>
          <w:sz w:val="24"/>
        </w:rPr>
        <w:t>0</w:t>
      </w:r>
      <w:r>
        <w:rPr>
          <w:rFonts w:hint="eastAsia"/>
          <w:sz w:val="24"/>
        </w:rPr>
        <w:t>土木工程专业的教学活动。</w:t>
      </w:r>
    </w:p>
    <w:p>
      <w:pPr>
        <w:overflowPunct w:val="0"/>
        <w:adjustRightInd w:val="0"/>
        <w:ind w:firstLine="562" w:firstLineChars="200"/>
        <w:outlineLvl w:val="0"/>
        <w:rPr>
          <w:b/>
          <w:bCs/>
          <w:sz w:val="28"/>
        </w:rPr>
      </w:pPr>
      <w:r>
        <w:rPr>
          <w:b/>
          <w:bCs/>
          <w:sz w:val="28"/>
        </w:rPr>
        <w:t>（二）教学设施</w:t>
      </w:r>
    </w:p>
    <w:p>
      <w:pPr>
        <w:spacing w:line="360" w:lineRule="auto"/>
        <w:ind w:firstLine="480" w:firstLineChars="200"/>
        <w:contextualSpacing/>
        <w:rPr>
          <w:color w:val="000000"/>
          <w:kern w:val="0"/>
          <w:sz w:val="24"/>
        </w:rPr>
      </w:pPr>
      <w:r>
        <w:rPr>
          <w:color w:val="000000"/>
          <w:kern w:val="0"/>
          <w:sz w:val="24"/>
        </w:rPr>
        <w:t>课堂教学设施方面，路桥与港航工程学院所有教室都实现了多媒体教学，拥有投影仪、电脑、音响设备。同时建有多个智慧教室，实物投影、多媒体触控交互大屏，多屏显示系统等智慧化教学设备，能够充分保障本专业的课堂教学需求。</w:t>
      </w:r>
    </w:p>
    <w:p>
      <w:pPr>
        <w:spacing w:line="360" w:lineRule="auto"/>
        <w:ind w:firstLine="480" w:firstLineChars="200"/>
        <w:contextualSpacing/>
        <w:rPr>
          <w:rFonts w:hint="eastAsia"/>
          <w:color w:val="000000"/>
          <w:kern w:val="0"/>
          <w:sz w:val="24"/>
          <w:lang w:val="en-US" w:eastAsia="zh-CN"/>
        </w:rPr>
      </w:pPr>
      <w:r>
        <w:rPr>
          <w:color w:val="000000"/>
          <w:kern w:val="0"/>
          <w:sz w:val="24"/>
        </w:rPr>
        <w:t>实训教学方面，依托南京交通职业技术学院和苏交科集团股份有限公司共同开展，校内</w:t>
      </w:r>
      <w:r>
        <w:rPr>
          <w:rFonts w:hint="eastAsia"/>
          <w:color w:val="000000"/>
          <w:kern w:val="0"/>
          <w:sz w:val="24"/>
          <w:lang w:val="en-US" w:eastAsia="zh-CN"/>
        </w:rPr>
        <w:t>建有路桥工程类</w:t>
      </w:r>
      <w:r>
        <w:rPr>
          <w:color w:val="000000"/>
          <w:kern w:val="0"/>
          <w:sz w:val="24"/>
        </w:rPr>
        <w:t>国家级教学实训基地</w:t>
      </w:r>
      <w:r>
        <w:rPr>
          <w:rFonts w:ascii="Times New Roman" w:hAnsi="Times New Roman"/>
          <w:color w:val="000000"/>
          <w:kern w:val="0"/>
          <w:sz w:val="24"/>
        </w:rPr>
        <w:t>2</w:t>
      </w:r>
      <w:r>
        <w:rPr>
          <w:color w:val="000000"/>
          <w:kern w:val="0"/>
          <w:sz w:val="24"/>
        </w:rPr>
        <w:t>个、交通土建骨干教师培训培养基地、</w:t>
      </w:r>
      <w:r>
        <w:rPr>
          <w:rFonts w:hint="eastAsia"/>
          <w:color w:val="000000"/>
          <w:kern w:val="0"/>
          <w:sz w:val="24"/>
          <w:lang w:val="en-US" w:eastAsia="zh-CN"/>
        </w:rPr>
        <w:t>国家级“双师型”教师培养培训基地</w:t>
      </w:r>
      <w:r>
        <w:rPr>
          <w:rFonts w:hint="eastAsia"/>
          <w:color w:val="000000"/>
          <w:kern w:val="0"/>
          <w:sz w:val="24"/>
          <w:lang w:eastAsia="zh-CN"/>
        </w:rPr>
        <w:t>。</w:t>
      </w:r>
      <w:r>
        <w:rPr>
          <w:rFonts w:hint="eastAsia"/>
          <w:color w:val="000000"/>
          <w:kern w:val="0"/>
          <w:sz w:val="24"/>
          <w:lang w:val="en-US" w:eastAsia="zh-CN"/>
        </w:rPr>
        <w:t>学院绿色智慧交通建造虚拟仿真实训基地是国家职业教育示范性虚拟仿真实训基地培育项目，配有全国领先的</w:t>
      </w:r>
      <w:r>
        <w:rPr>
          <w:rFonts w:hint="eastAsia" w:ascii="Times New Roman" w:hAnsi="Times New Roman"/>
          <w:color w:val="000000"/>
          <w:kern w:val="0"/>
          <w:sz w:val="24"/>
          <w:lang w:val="en-US" w:eastAsia="zh-CN"/>
        </w:rPr>
        <w:t>VR</w:t>
      </w:r>
      <w:r>
        <w:rPr>
          <w:rFonts w:hint="eastAsia"/>
          <w:color w:val="000000"/>
          <w:kern w:val="0"/>
          <w:sz w:val="24"/>
          <w:lang w:val="en-US" w:eastAsia="zh-CN"/>
        </w:rPr>
        <w:t>、</w:t>
      </w:r>
      <w:r>
        <w:rPr>
          <w:rFonts w:hint="eastAsia" w:ascii="Times New Roman" w:hAnsi="Times New Roman"/>
          <w:color w:val="000000"/>
          <w:kern w:val="0"/>
          <w:sz w:val="24"/>
          <w:lang w:val="en-US" w:eastAsia="zh-CN"/>
        </w:rPr>
        <w:t>MR</w:t>
      </w:r>
      <w:r>
        <w:rPr>
          <w:rFonts w:hint="eastAsia"/>
          <w:color w:val="000000"/>
          <w:kern w:val="0"/>
          <w:sz w:val="24"/>
          <w:lang w:val="en-US" w:eastAsia="zh-CN"/>
        </w:rPr>
        <w:t>、</w:t>
      </w:r>
      <w:r>
        <w:rPr>
          <w:rFonts w:hint="eastAsia" w:ascii="Times New Roman" w:hAnsi="Times New Roman"/>
          <w:color w:val="000000"/>
          <w:kern w:val="0"/>
          <w:sz w:val="24"/>
          <w:lang w:val="en-US" w:eastAsia="zh-CN"/>
        </w:rPr>
        <w:t>AR</w:t>
      </w:r>
      <w:r>
        <w:rPr>
          <w:rFonts w:hint="eastAsia"/>
          <w:color w:val="000000"/>
          <w:kern w:val="0"/>
          <w:sz w:val="24"/>
          <w:lang w:val="en-US" w:eastAsia="zh-CN"/>
        </w:rPr>
        <w:t>虚拟仿真实训设备，建有道路、桥梁、轨道、港航、隧道、市政等交通基础设施建设施工、检测、养护的虚拟仿真实训资源，与已有实体实训条件一起，共同构建了“虚实结合”的数字孪生虚拟仿真实训资源，能够保障学生获得全面、精良的实践训练。</w:t>
      </w:r>
    </w:p>
    <w:p>
      <w:pPr>
        <w:spacing w:line="360" w:lineRule="auto"/>
        <w:ind w:firstLine="480" w:firstLineChars="200"/>
        <w:contextualSpacing/>
        <w:rPr>
          <w:rFonts w:hint="default"/>
          <w:color w:val="000000"/>
          <w:kern w:val="0"/>
          <w:sz w:val="24"/>
          <w:lang w:val="en-US" w:eastAsia="zh-CN"/>
        </w:rPr>
      </w:pPr>
      <w:r>
        <w:rPr>
          <w:rFonts w:hint="eastAsia"/>
          <w:color w:val="000000"/>
          <w:kern w:val="0"/>
          <w:sz w:val="24"/>
          <w:lang w:val="en-US" w:eastAsia="zh-CN"/>
        </w:rPr>
        <w:t>创新训练方面，学院建有江苏省交通运输节能减排工程研究中心道路绿色养护技术研究所，校企合作建有智能养护与大数据研究中心，苏交科集团建有新型道路材料国家工程实验室，在专任教师、技术专家、科研骨干的指导下能够开展前沿的创新创业训练。</w:t>
      </w:r>
    </w:p>
    <w:p>
      <w:pPr>
        <w:spacing w:line="360" w:lineRule="auto"/>
        <w:ind w:firstLine="480" w:firstLineChars="200"/>
        <w:contextualSpacing/>
        <w:rPr>
          <w:color w:val="000000"/>
          <w:kern w:val="0"/>
          <w:sz w:val="24"/>
        </w:rPr>
      </w:pPr>
      <w:r>
        <w:rPr>
          <w:color w:val="000000"/>
          <w:kern w:val="0"/>
          <w:sz w:val="24"/>
        </w:rPr>
        <w:t>此外，苏交科集团全程深度参与联合培养，并将企业文化、管理模式、工法工艺、职业发展等企业资源嵌入培养过程，直接选派企业专家承担“企业课程”教学，承担学生企业实训、毕业实习等实践教学环节组织和管理，同时设立了苏交科奖助学等专项基金，优先录用不少于</w:t>
      </w:r>
      <w:r>
        <w:rPr>
          <w:rFonts w:ascii="Times New Roman" w:hAnsi="Times New Roman"/>
          <w:color w:val="000000"/>
          <w:kern w:val="0"/>
          <w:sz w:val="24"/>
        </w:rPr>
        <w:t>60</w:t>
      </w:r>
      <w:r>
        <w:rPr>
          <w:color w:val="000000"/>
          <w:kern w:val="0"/>
          <w:sz w:val="24"/>
        </w:rPr>
        <w:t>%的本项目毕业生到集团就业。</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三</w:t>
      </w:r>
      <w:r>
        <w:rPr>
          <w:b/>
          <w:bCs/>
          <w:sz w:val="28"/>
        </w:rPr>
        <w:t>）</w:t>
      </w:r>
      <w:r>
        <w:rPr>
          <w:rFonts w:hint="eastAsia"/>
          <w:b/>
          <w:bCs/>
          <w:sz w:val="28"/>
          <w:lang w:val="en-US" w:eastAsia="zh-CN"/>
        </w:rPr>
        <w:t>教学资源</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教学资源主要包括能够满足学生专业学习、教师专业教学研究和教学实施所需的教材、图书文献及数字教学资源等。</w:t>
      </w:r>
    </w:p>
    <w:p>
      <w:pPr>
        <w:spacing w:line="360" w:lineRule="auto"/>
        <w:ind w:firstLine="482" w:firstLineChars="200"/>
        <w:contextualSpacing/>
        <w:rPr>
          <w:rFonts w:hint="eastAsia" w:ascii="宋体" w:hAnsi="宋体"/>
          <w:b/>
          <w:bCs/>
          <w:sz w:val="24"/>
          <w:szCs w:val="24"/>
          <w:lang w:val="en-US" w:eastAsia="zh-CN"/>
        </w:rPr>
      </w:pPr>
      <w:r>
        <w:rPr>
          <w:rFonts w:hint="eastAsia" w:ascii="Times New Roman" w:hAnsi="Times New Roman"/>
          <w:b/>
          <w:bCs/>
          <w:sz w:val="24"/>
          <w:szCs w:val="24"/>
          <w:lang w:val="en-US" w:eastAsia="zh-CN"/>
        </w:rPr>
        <w:t>1</w:t>
      </w:r>
      <w:r>
        <w:rPr>
          <w:rFonts w:hint="eastAsia" w:ascii="宋体" w:hAnsi="宋体"/>
          <w:b/>
          <w:bCs/>
          <w:sz w:val="24"/>
          <w:szCs w:val="24"/>
          <w:lang w:val="en-US" w:eastAsia="zh-CN"/>
        </w:rPr>
        <w:t>. 教材选用</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教材选用按照国家规定优先选用国家规划优质高职本科教材、本科教材、高职高专类教材，禁止不合格的教材进入课堂。建立专业教师、行业专家和教研人员等参与的教材选用机构，完善教材选用制度，经过规范程序择优选用教材。</w:t>
      </w:r>
    </w:p>
    <w:p>
      <w:pPr>
        <w:spacing w:line="360" w:lineRule="auto"/>
        <w:ind w:firstLine="482" w:firstLineChars="200"/>
        <w:contextualSpacing/>
        <w:rPr>
          <w:rFonts w:hint="eastAsia" w:ascii="宋体" w:hAnsi="宋体"/>
          <w:b/>
          <w:bCs/>
          <w:sz w:val="24"/>
          <w:szCs w:val="24"/>
          <w:lang w:val="en-US" w:eastAsia="zh-CN"/>
        </w:rPr>
      </w:pPr>
      <w:r>
        <w:rPr>
          <w:rFonts w:hint="eastAsia" w:ascii="Times New Roman" w:hAnsi="Times New Roman"/>
          <w:b/>
          <w:bCs/>
          <w:sz w:val="24"/>
          <w:szCs w:val="24"/>
          <w:lang w:val="en-US" w:eastAsia="zh-CN"/>
        </w:rPr>
        <w:t>2</w:t>
      </w:r>
      <w:r>
        <w:rPr>
          <w:rFonts w:hint="eastAsia" w:ascii="宋体" w:hAnsi="宋体"/>
          <w:b/>
          <w:bCs/>
          <w:sz w:val="24"/>
          <w:szCs w:val="24"/>
          <w:lang w:val="en-US" w:eastAsia="zh-CN"/>
        </w:rPr>
        <w:t>. 图书文献配备</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图书文献配备满足人才培养、专业建设、教科研等工作的需要，方便师生查询、借阅。专业类图书文献主要包括：交通基础设施建设行业法律法规、行业标准、技术规范以及相关专业技术手册、操作规范等；土木工程专业类图书和实务案例类图书；</w:t>
      </w:r>
      <w:r>
        <w:rPr>
          <w:rFonts w:hint="eastAsia" w:ascii="Times New Roman" w:hAnsi="Times New Roman"/>
          <w:sz w:val="24"/>
          <w:lang w:val="en-US" w:eastAsia="zh-CN"/>
        </w:rPr>
        <w:t>3</w:t>
      </w:r>
      <w:r>
        <w:rPr>
          <w:rFonts w:hint="eastAsia" w:ascii="宋体" w:hAnsi="宋体"/>
          <w:sz w:val="24"/>
          <w:lang w:val="en-US" w:eastAsia="zh-CN"/>
        </w:rPr>
        <w:t>种以上土木工程（交通土建）类专业学术期刊。</w:t>
      </w:r>
    </w:p>
    <w:p>
      <w:pPr>
        <w:spacing w:line="360" w:lineRule="auto"/>
        <w:ind w:firstLine="482" w:firstLineChars="200"/>
        <w:contextualSpacing/>
        <w:rPr>
          <w:rFonts w:hint="eastAsia" w:ascii="宋体" w:hAnsi="宋体"/>
          <w:b/>
          <w:bCs/>
          <w:sz w:val="24"/>
          <w:szCs w:val="24"/>
          <w:lang w:val="en-US" w:eastAsia="zh-CN"/>
        </w:rPr>
      </w:pPr>
      <w:r>
        <w:rPr>
          <w:rFonts w:hint="eastAsia" w:ascii="Times New Roman" w:hAnsi="Times New Roman"/>
          <w:b/>
          <w:bCs/>
          <w:sz w:val="24"/>
          <w:szCs w:val="24"/>
          <w:lang w:val="en-US" w:eastAsia="zh-CN"/>
        </w:rPr>
        <w:t>3</w:t>
      </w:r>
      <w:r>
        <w:rPr>
          <w:rFonts w:hint="eastAsia" w:ascii="宋体" w:hAnsi="宋体"/>
          <w:b/>
          <w:bCs/>
          <w:sz w:val="24"/>
          <w:szCs w:val="24"/>
          <w:lang w:val="en-US" w:eastAsia="zh-CN"/>
        </w:rPr>
        <w:t>. 数字教学资源配置基本要求</w:t>
      </w:r>
    </w:p>
    <w:p>
      <w:pPr>
        <w:spacing w:line="360" w:lineRule="auto"/>
        <w:ind w:firstLine="480" w:firstLineChars="200"/>
        <w:contextualSpacing/>
        <w:rPr>
          <w:rFonts w:hint="default" w:ascii="宋体" w:hAnsi="宋体" w:eastAsia="宋体"/>
          <w:sz w:val="24"/>
          <w:lang w:val="en-US" w:eastAsia="zh-CN"/>
        </w:rPr>
      </w:pPr>
      <w:r>
        <w:rPr>
          <w:rFonts w:hint="eastAsia" w:ascii="宋体" w:hAnsi="宋体"/>
          <w:sz w:val="24"/>
          <w:lang w:val="en-US" w:eastAsia="zh-CN"/>
        </w:rPr>
        <w:t>学院建有与本专业有关的音视频素材、教学课件、数字化教学案例库、虚拟仿真软件、数字教材等专业教学资源库，种类丰富、形式多样、使用便捷、动态更新，满足教学要求。学院绿色智慧交通建造虚拟仿真实训基地是国家职业教育示范性虚拟仿真实训基地培育项目，实训方面建有虚实结合的数字孪生虚拟仿真实训资源，能够满足学生跨空间、多时段的自主学习与线上实践训练。</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四</w:t>
      </w:r>
      <w:r>
        <w:rPr>
          <w:b/>
          <w:bCs/>
          <w:sz w:val="28"/>
        </w:rPr>
        <w:t>）</w:t>
      </w:r>
      <w:r>
        <w:rPr>
          <w:rFonts w:hint="eastAsia"/>
          <w:b/>
          <w:bCs/>
          <w:sz w:val="28"/>
          <w:lang w:val="en-US" w:eastAsia="zh-CN"/>
        </w:rPr>
        <w:t>教学方法</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本专业人才培养按大类招生的专业基础课程实施分层教学，专业课程实施分类培养。教师依据本专业培养目标、课程教学要求、学生能力与教学资源，采用适当的教学方法，以达成预期教学目标。倡导因材施教、因需施教，鼓励创新教学方法和策略，采用理实一体化教学、案例教学、项目教学等方法，坚持学中做、做中学。依托国家职业教育示范性虚拟仿真实训基地创研工坊、智慧工地与管控实训中心、路桥新技术研究所、江苏省交通节能减排工程研究中心道路绿色养护研究所等平台开展创新创业活动，培育创新思维与能力。</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五</w:t>
      </w:r>
      <w:r>
        <w:rPr>
          <w:b/>
          <w:bCs/>
          <w:sz w:val="28"/>
        </w:rPr>
        <w:t>）</w:t>
      </w:r>
      <w:r>
        <w:rPr>
          <w:rFonts w:hint="eastAsia"/>
          <w:b/>
          <w:bCs/>
          <w:sz w:val="28"/>
          <w:lang w:val="en-US" w:eastAsia="zh-CN"/>
        </w:rPr>
        <w:t>学习评价</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教学评价和考核要突出能力的考核评价，体现对学生综合素质的评价，组织吸纳更多行业企业和社会有关方面参与学生考核评价。</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专业课程教学评价建议采用过程考核、阶段考核、综合考试相结合，理论和操作相结合的考核方法，考教分离。适时进行质量监控，及时补缺补差。</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六</w:t>
      </w:r>
      <w:r>
        <w:rPr>
          <w:b/>
          <w:bCs/>
          <w:sz w:val="28"/>
        </w:rPr>
        <w:t>）</w:t>
      </w:r>
      <w:r>
        <w:rPr>
          <w:rFonts w:hint="eastAsia"/>
          <w:b/>
          <w:bCs/>
          <w:sz w:val="28"/>
          <w:lang w:val="en-US" w:eastAsia="zh-CN"/>
        </w:rPr>
        <w:t>质量管理</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w:t>
      </w:r>
      <w:r>
        <w:rPr>
          <w:rFonts w:hint="eastAsia" w:ascii="Times New Roman" w:hAnsi="Times New Roman"/>
          <w:sz w:val="24"/>
          <w:lang w:val="en-US" w:eastAsia="zh-CN"/>
        </w:rPr>
        <w:t>1</w:t>
      </w:r>
      <w:r>
        <w:rPr>
          <w:rFonts w:hint="eastAsia" w:ascii="宋体" w:hAnsi="宋体"/>
          <w:sz w:val="24"/>
          <w:lang w:val="en-US" w:eastAsia="zh-CN"/>
        </w:rPr>
        <w:t>）学校和路桥与港航工程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w:t>
      </w:r>
      <w:r>
        <w:rPr>
          <w:rFonts w:hint="eastAsia" w:ascii="Times New Roman" w:hAnsi="Times New Roman"/>
          <w:sz w:val="24"/>
          <w:lang w:val="en-US" w:eastAsia="zh-CN"/>
        </w:rPr>
        <w:t>2</w:t>
      </w:r>
      <w:r>
        <w:rPr>
          <w:rFonts w:hint="eastAsia" w:ascii="宋体" w:hAnsi="宋体"/>
          <w:sz w:val="24"/>
          <w:lang w:val="en-US" w:eastAsia="zh-CN"/>
        </w:rPr>
        <w:t>）学校和路桥与港航工程学院完善教学管理机制，加强日常教学组织运行与管理，定期开展课程建设水平和教学质量诊断与改进，建立健全巡课、听课、评教、评学等制度，建立与合作企业苏交科集团联动的实践教学环节督导制度，严明教学纪律，强化教学组织功能，定期开展公开课、示范课等教研活动。</w:t>
      </w:r>
    </w:p>
    <w:p>
      <w:pPr>
        <w:spacing w:line="360" w:lineRule="auto"/>
        <w:ind w:firstLine="480" w:firstLineChars="200"/>
        <w:contextualSpacing/>
        <w:rPr>
          <w:rFonts w:hint="eastAsia" w:ascii="宋体" w:hAnsi="宋体"/>
          <w:sz w:val="24"/>
          <w:lang w:val="en-US" w:eastAsia="zh-CN"/>
        </w:rPr>
      </w:pPr>
      <w:r>
        <w:rPr>
          <w:rFonts w:hint="eastAsia" w:ascii="宋体" w:hAnsi="宋体"/>
          <w:sz w:val="24"/>
          <w:lang w:val="en-US" w:eastAsia="zh-CN"/>
        </w:rPr>
        <w:t>（</w:t>
      </w:r>
      <w:r>
        <w:rPr>
          <w:rFonts w:hint="eastAsia" w:ascii="Times New Roman" w:hAnsi="Times New Roman"/>
          <w:sz w:val="24"/>
          <w:lang w:val="en-US" w:eastAsia="zh-CN"/>
        </w:rPr>
        <w:t>3</w:t>
      </w:r>
      <w:r>
        <w:rPr>
          <w:rFonts w:hint="eastAsia" w:ascii="宋体" w:hAnsi="宋体"/>
          <w:sz w:val="24"/>
          <w:lang w:val="en-US" w:eastAsia="zh-CN"/>
        </w:rPr>
        <w:t>）学校和路桥与港航工程学院建立毕业生跟踪反馈机制及社会评价机制，并对生源情况、在校生学业水平、毕业生就业情况等进行分析，定期评价人才培养质量和培养目标达成情况。</w:t>
      </w:r>
    </w:p>
    <w:p>
      <w:pPr>
        <w:spacing w:line="360" w:lineRule="auto"/>
        <w:ind w:firstLine="480" w:firstLineChars="200"/>
        <w:contextualSpacing/>
        <w:rPr>
          <w:rFonts w:hint="default" w:ascii="宋体" w:hAnsi="宋体"/>
          <w:sz w:val="24"/>
          <w:lang w:val="en-US" w:eastAsia="zh-CN"/>
        </w:rPr>
      </w:pPr>
      <w:r>
        <w:rPr>
          <w:rFonts w:hint="eastAsia" w:ascii="宋体" w:hAnsi="宋体"/>
          <w:sz w:val="24"/>
          <w:lang w:val="en-US" w:eastAsia="zh-CN"/>
        </w:rPr>
        <w:t>（</w:t>
      </w:r>
      <w:r>
        <w:rPr>
          <w:rFonts w:hint="eastAsia" w:ascii="Times New Roman" w:hAnsi="Times New Roman"/>
          <w:sz w:val="24"/>
          <w:lang w:val="en-US" w:eastAsia="zh-CN"/>
        </w:rPr>
        <w:t>4</w:t>
      </w:r>
      <w:r>
        <w:rPr>
          <w:rFonts w:hint="eastAsia" w:ascii="宋体" w:hAnsi="宋体"/>
          <w:sz w:val="24"/>
          <w:lang w:val="en-US" w:eastAsia="zh-CN"/>
        </w:rPr>
        <w:t>）路桥与港航工程学院和交通土建教研室充分利用评价分析结果有效改进专业教学，持续提高人才培养质量。</w:t>
      </w:r>
    </w:p>
    <w:p>
      <w:pPr>
        <w:keepNext w:val="0"/>
        <w:keepLines w:val="0"/>
        <w:pageBreakBefore w:val="0"/>
        <w:widowControl w:val="0"/>
        <w:kinsoku/>
        <w:wordWrap/>
        <w:overflowPunct w:val="0"/>
        <w:topLinePunct w:val="0"/>
        <w:autoSpaceDE/>
        <w:autoSpaceDN/>
        <w:bidi w:val="0"/>
        <w:adjustRightInd w:val="0"/>
        <w:snapToGrid/>
        <w:spacing w:before="157" w:beforeLines="50"/>
        <w:textAlignment w:val="auto"/>
        <w:outlineLvl w:val="0"/>
        <w:rPr>
          <w:b/>
          <w:bCs/>
          <w:sz w:val="28"/>
        </w:rPr>
      </w:pPr>
      <w:r>
        <w:rPr>
          <w:rFonts w:hint="eastAsia"/>
          <w:b/>
          <w:bCs/>
          <w:sz w:val="28"/>
          <w:lang w:val="en-US" w:eastAsia="zh-CN"/>
        </w:rPr>
        <w:t>九</w:t>
      </w:r>
      <w:r>
        <w:rPr>
          <w:b/>
          <w:bCs/>
          <w:sz w:val="28"/>
        </w:rPr>
        <w:t>、毕业要求</w:t>
      </w:r>
    </w:p>
    <w:p>
      <w:pPr>
        <w:overflowPunct w:val="0"/>
        <w:adjustRightInd w:val="0"/>
        <w:ind w:firstLine="562" w:firstLineChars="200"/>
        <w:outlineLvl w:val="0"/>
        <w:rPr>
          <w:rFonts w:hint="default" w:eastAsia="宋体"/>
          <w:b/>
          <w:bCs/>
          <w:sz w:val="28"/>
          <w:lang w:val="en-US" w:eastAsia="zh-CN"/>
        </w:rPr>
      </w:pPr>
      <w:r>
        <w:rPr>
          <w:b/>
          <w:bCs/>
          <w:sz w:val="28"/>
        </w:rPr>
        <w:t>（一）</w:t>
      </w:r>
      <w:r>
        <w:rPr>
          <w:rFonts w:hint="eastAsia"/>
          <w:b/>
          <w:bCs/>
          <w:sz w:val="28"/>
          <w:lang w:val="en-US" w:eastAsia="zh-CN"/>
        </w:rPr>
        <w:t>毕业学分要求</w:t>
      </w:r>
    </w:p>
    <w:p>
      <w:pPr>
        <w:spacing w:line="360" w:lineRule="auto"/>
        <w:ind w:firstLine="480" w:firstLineChars="200"/>
        <w:contextualSpacing/>
        <w:rPr>
          <w:sz w:val="24"/>
        </w:rPr>
      </w:pPr>
      <w:r>
        <w:rPr>
          <w:sz w:val="24"/>
        </w:rPr>
        <w:t>总学分</w:t>
      </w:r>
      <w:r>
        <w:rPr>
          <w:rFonts w:ascii="Times New Roman" w:hAnsi="Times New Roman"/>
          <w:sz w:val="24"/>
        </w:rPr>
        <w:t>19</w:t>
      </w:r>
      <w:r>
        <w:rPr>
          <w:rFonts w:hint="eastAsia" w:ascii="Times New Roman" w:hAnsi="Times New Roman"/>
          <w:sz w:val="24"/>
          <w:lang w:val="en-US" w:eastAsia="zh-CN"/>
        </w:rPr>
        <w:t>6</w:t>
      </w:r>
      <w:r>
        <w:rPr>
          <w:sz w:val="24"/>
        </w:rPr>
        <w:t>.</w:t>
      </w:r>
      <w:r>
        <w:rPr>
          <w:rFonts w:ascii="Times New Roman" w:hAnsi="Times New Roman"/>
          <w:sz w:val="24"/>
        </w:rPr>
        <w:t>5</w:t>
      </w:r>
      <w:r>
        <w:rPr>
          <w:sz w:val="24"/>
        </w:rPr>
        <w:t>学分。其中必修课</w:t>
      </w:r>
      <w:r>
        <w:rPr>
          <w:rFonts w:ascii="Times New Roman" w:hAnsi="Times New Roman"/>
          <w:sz w:val="24"/>
        </w:rPr>
        <w:t>1</w:t>
      </w:r>
      <w:r>
        <w:rPr>
          <w:rFonts w:hint="eastAsia" w:ascii="Times New Roman" w:hAnsi="Times New Roman"/>
          <w:sz w:val="24"/>
          <w:lang w:val="en-US" w:eastAsia="zh-CN"/>
        </w:rPr>
        <w:t>70</w:t>
      </w:r>
      <w:r>
        <w:rPr>
          <w:sz w:val="24"/>
        </w:rPr>
        <w:t>.</w:t>
      </w:r>
      <w:r>
        <w:rPr>
          <w:rFonts w:ascii="Times New Roman" w:hAnsi="Times New Roman"/>
          <w:sz w:val="24"/>
        </w:rPr>
        <w:t>5</w:t>
      </w:r>
      <w:r>
        <w:rPr>
          <w:sz w:val="24"/>
        </w:rPr>
        <w:t>学分，选修课程（含限选和任选）</w:t>
      </w:r>
      <w:r>
        <w:rPr>
          <w:rFonts w:ascii="Times New Roman" w:hAnsi="Times New Roman"/>
          <w:sz w:val="24"/>
        </w:rPr>
        <w:t>2</w:t>
      </w:r>
      <w:r>
        <w:rPr>
          <w:rFonts w:hint="eastAsia" w:ascii="Times New Roman" w:hAnsi="Times New Roman"/>
          <w:sz w:val="24"/>
          <w:lang w:val="en-US" w:eastAsia="zh-CN"/>
        </w:rPr>
        <w:t>6</w:t>
      </w:r>
      <w:r>
        <w:rPr>
          <w:sz w:val="24"/>
        </w:rPr>
        <w:t>学分。人才培养方案中规定的全部课程（含实践性环节考核和毕业设计（论文）等）全部合格。</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二</w:t>
      </w:r>
      <w:r>
        <w:rPr>
          <w:b/>
          <w:bCs/>
          <w:sz w:val="28"/>
        </w:rPr>
        <w:t>）</w:t>
      </w:r>
      <w:r>
        <w:rPr>
          <w:rFonts w:hint="eastAsia"/>
          <w:b/>
          <w:bCs/>
          <w:sz w:val="28"/>
          <w:lang w:val="en-US" w:eastAsia="zh-CN"/>
        </w:rPr>
        <w:t>操行合格要求</w:t>
      </w:r>
    </w:p>
    <w:p>
      <w:pPr>
        <w:spacing w:line="360" w:lineRule="auto"/>
        <w:ind w:firstLine="480" w:firstLineChars="200"/>
        <w:contextualSpacing/>
        <w:rPr>
          <w:rFonts w:hint="eastAsia" w:eastAsia="宋体"/>
          <w:color w:val="000000"/>
          <w:kern w:val="0"/>
          <w:sz w:val="24"/>
          <w:lang w:eastAsia="zh-CN"/>
        </w:rPr>
      </w:pPr>
      <w:r>
        <w:rPr>
          <w:color w:val="000000"/>
          <w:kern w:val="0"/>
          <w:sz w:val="24"/>
        </w:rPr>
        <w:t>学生德育素质考核结果合格及以上</w:t>
      </w:r>
      <w:r>
        <w:rPr>
          <w:rFonts w:hint="eastAsia"/>
          <w:color w:val="000000"/>
          <w:kern w:val="0"/>
          <w:sz w:val="24"/>
          <w:lang w:eastAsia="zh-CN"/>
        </w:rPr>
        <w:t>。</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三</w:t>
      </w:r>
      <w:r>
        <w:rPr>
          <w:b/>
          <w:bCs/>
          <w:sz w:val="28"/>
        </w:rPr>
        <w:t>）</w:t>
      </w:r>
      <w:r>
        <w:rPr>
          <w:rFonts w:hint="eastAsia"/>
          <w:b/>
          <w:bCs/>
          <w:sz w:val="28"/>
          <w:lang w:val="en-US" w:eastAsia="zh-CN"/>
        </w:rPr>
        <w:t>体育合格要求</w:t>
      </w:r>
    </w:p>
    <w:p>
      <w:pPr>
        <w:spacing w:line="360" w:lineRule="auto"/>
        <w:ind w:firstLine="480" w:firstLineChars="200"/>
        <w:contextualSpacing/>
        <w:rPr>
          <w:rFonts w:hint="eastAsia"/>
          <w:sz w:val="24"/>
          <w:lang w:eastAsia="zh-CN"/>
        </w:rPr>
      </w:pPr>
      <w:r>
        <w:rPr>
          <w:sz w:val="24"/>
        </w:rPr>
        <w:t>体质测试考核结果合格</w:t>
      </w:r>
      <w:r>
        <w:rPr>
          <w:rFonts w:hint="eastAsia"/>
          <w:sz w:val="24"/>
          <w:lang w:val="en-US" w:eastAsia="zh-CN"/>
        </w:rPr>
        <w:t>及</w:t>
      </w:r>
      <w:r>
        <w:rPr>
          <w:sz w:val="24"/>
        </w:rPr>
        <w:t>以上</w:t>
      </w:r>
      <w:r>
        <w:rPr>
          <w:rFonts w:hint="eastAsia"/>
          <w:sz w:val="24"/>
          <w:lang w:eastAsia="zh-CN"/>
        </w:rPr>
        <w:t>。</w:t>
      </w:r>
    </w:p>
    <w:p>
      <w:pPr>
        <w:overflowPunct w:val="0"/>
        <w:adjustRightInd w:val="0"/>
        <w:ind w:firstLine="562" w:firstLineChars="200"/>
        <w:outlineLvl w:val="0"/>
        <w:rPr>
          <w:rFonts w:hint="default" w:eastAsia="宋体"/>
          <w:b/>
          <w:bCs/>
          <w:sz w:val="28"/>
          <w:lang w:val="en-US" w:eastAsia="zh-CN"/>
        </w:rPr>
      </w:pPr>
      <w:r>
        <w:rPr>
          <w:b/>
          <w:bCs/>
          <w:sz w:val="28"/>
        </w:rPr>
        <w:t>（</w:t>
      </w:r>
      <w:r>
        <w:rPr>
          <w:rFonts w:hint="eastAsia"/>
          <w:b/>
          <w:bCs/>
          <w:sz w:val="28"/>
          <w:lang w:val="en-US" w:eastAsia="zh-CN"/>
        </w:rPr>
        <w:t>四</w:t>
      </w:r>
      <w:r>
        <w:rPr>
          <w:b/>
          <w:bCs/>
          <w:sz w:val="28"/>
        </w:rPr>
        <w:t>）</w:t>
      </w:r>
      <w:r>
        <w:rPr>
          <w:rFonts w:hint="eastAsia"/>
          <w:b/>
          <w:bCs/>
          <w:sz w:val="28"/>
          <w:lang w:val="en-US" w:eastAsia="zh-CN"/>
        </w:rPr>
        <w:t>证书要求</w:t>
      </w:r>
    </w:p>
    <w:p>
      <w:pPr>
        <w:spacing w:line="360" w:lineRule="auto"/>
        <w:ind w:firstLine="480" w:firstLineChars="200"/>
        <w:contextualSpacing/>
        <w:rPr>
          <w:color w:val="000000"/>
          <w:kern w:val="0"/>
          <w:sz w:val="24"/>
        </w:rPr>
      </w:pPr>
      <w:r>
        <w:rPr>
          <w:rFonts w:hint="eastAsia"/>
          <w:sz w:val="24"/>
          <w:lang w:val="en-US" w:eastAsia="zh-CN"/>
        </w:rPr>
        <w:t>修满学分并合格，且</w:t>
      </w:r>
      <w:r>
        <w:rPr>
          <w:rFonts w:hint="eastAsia"/>
          <w:sz w:val="24"/>
        </w:rPr>
        <w:t>获得与本专业相适应的职业资格证书或“</w:t>
      </w:r>
      <w:r>
        <w:rPr>
          <w:rFonts w:hint="eastAsia" w:ascii="Times New Roman" w:hAnsi="Times New Roman"/>
          <w:sz w:val="24"/>
        </w:rPr>
        <w:t>1</w:t>
      </w:r>
      <w:r>
        <w:rPr>
          <w:rFonts w:hint="eastAsia"/>
          <w:sz w:val="24"/>
        </w:rPr>
        <w:t>+</w:t>
      </w:r>
      <w:r>
        <w:rPr>
          <w:rFonts w:hint="eastAsia" w:ascii="Times New Roman" w:hAnsi="Times New Roman"/>
          <w:sz w:val="24"/>
        </w:rPr>
        <w:t>X</w:t>
      </w:r>
      <w:r>
        <w:rPr>
          <w:rFonts w:hint="eastAsia"/>
          <w:sz w:val="24"/>
        </w:rPr>
        <w:t>”职业技能等级证书中的一项及以上</w:t>
      </w:r>
      <w:r>
        <w:rPr>
          <w:sz w:val="24"/>
        </w:rPr>
        <w:t>，颁发南京工程学院本科文凭；</w:t>
      </w:r>
      <w:r>
        <w:rPr>
          <w:color w:val="000000"/>
          <w:kern w:val="0"/>
          <w:sz w:val="24"/>
        </w:rPr>
        <w:t>符合学士学位授予条件的（授予条件详见《南京工程学院学士学位授予工作实施细则（修订）》），可授予南京工程学院学士学位。</w:t>
      </w:r>
    </w:p>
    <w:p>
      <w:pPr>
        <w:keepNext w:val="0"/>
        <w:keepLines w:val="0"/>
        <w:pageBreakBefore w:val="0"/>
        <w:widowControl w:val="0"/>
        <w:kinsoku/>
        <w:wordWrap/>
        <w:overflowPunct w:val="0"/>
        <w:topLinePunct w:val="0"/>
        <w:autoSpaceDE/>
        <w:autoSpaceDN/>
        <w:bidi w:val="0"/>
        <w:adjustRightInd w:val="0"/>
        <w:snapToGrid/>
        <w:spacing w:before="157" w:beforeLines="50"/>
        <w:textAlignment w:val="auto"/>
        <w:outlineLvl w:val="0"/>
        <w:rPr>
          <w:rFonts w:hint="default"/>
          <w:b/>
          <w:bCs/>
          <w:sz w:val="28"/>
          <w:lang w:val="en-US" w:eastAsia="zh-CN"/>
        </w:rPr>
      </w:pPr>
      <w:r>
        <w:rPr>
          <w:rFonts w:hint="eastAsia"/>
          <w:b/>
          <w:bCs/>
          <w:sz w:val="28"/>
          <w:lang w:val="en-US" w:eastAsia="zh-CN"/>
        </w:rPr>
        <w:t>十、其他说明</w:t>
      </w:r>
    </w:p>
    <w:p>
      <w:pPr>
        <w:spacing w:line="360" w:lineRule="auto"/>
        <w:ind w:firstLine="480" w:firstLineChars="200"/>
        <w:rPr>
          <w:sz w:val="24"/>
        </w:rPr>
      </w:pPr>
      <w:r>
        <w:rPr>
          <w:rFonts w:hint="eastAsia" w:ascii="Times New Roman" w:hAnsi="Times New Roman"/>
          <w:sz w:val="24"/>
          <w:lang w:val="en-US" w:eastAsia="zh-CN"/>
        </w:rPr>
        <w:t>1</w:t>
      </w:r>
      <w:r>
        <w:rPr>
          <w:rFonts w:hint="eastAsia"/>
          <w:sz w:val="24"/>
          <w:lang w:val="en-US" w:eastAsia="zh-CN"/>
        </w:rPr>
        <w:t xml:space="preserve">. </w:t>
      </w:r>
      <w:r>
        <w:rPr>
          <w:sz w:val="24"/>
        </w:rPr>
        <w:t>各学期教学计划总周数为</w:t>
      </w:r>
      <w:r>
        <w:rPr>
          <w:rFonts w:ascii="Times New Roman" w:hAnsi="Times New Roman"/>
          <w:sz w:val="24"/>
        </w:rPr>
        <w:t>20</w:t>
      </w:r>
      <w:r>
        <w:rPr>
          <w:sz w:val="24"/>
        </w:rPr>
        <w:t>周，其中一周考试，实际教学</w:t>
      </w:r>
      <w:r>
        <w:rPr>
          <w:rFonts w:ascii="Times New Roman" w:hAnsi="Times New Roman"/>
          <w:sz w:val="24"/>
        </w:rPr>
        <w:t>19</w:t>
      </w:r>
      <w:r>
        <w:rPr>
          <w:sz w:val="24"/>
        </w:rPr>
        <w:t>周。具体执行时，视学期具体情况调整。</w:t>
      </w:r>
    </w:p>
    <w:p>
      <w:pPr>
        <w:spacing w:line="360" w:lineRule="auto"/>
        <w:ind w:firstLine="480" w:firstLineChars="200"/>
        <w:rPr>
          <w:sz w:val="24"/>
        </w:rPr>
      </w:pPr>
      <w:r>
        <w:rPr>
          <w:rFonts w:hint="eastAsia" w:ascii="Times New Roman" w:hAnsi="Times New Roman"/>
          <w:sz w:val="24"/>
          <w:lang w:val="en-US" w:eastAsia="zh-CN"/>
        </w:rPr>
        <w:t>2</w:t>
      </w:r>
      <w:r>
        <w:rPr>
          <w:rFonts w:hint="eastAsia"/>
          <w:sz w:val="24"/>
          <w:lang w:val="en-US" w:eastAsia="zh-CN"/>
        </w:rPr>
        <w:t xml:space="preserve">. </w:t>
      </w:r>
      <w:r>
        <w:rPr>
          <w:sz w:val="24"/>
        </w:rPr>
        <w:t>素质教育融入各课程教学中，贯穿于人才培养全过程。素质拓展模块中包括卓越人才培养模块，开展数字测图、无损检测、</w:t>
      </w:r>
      <w:r>
        <w:rPr>
          <w:rFonts w:ascii="Times New Roman" w:hAnsi="Times New Roman"/>
          <w:sz w:val="24"/>
        </w:rPr>
        <w:t>BIM</w:t>
      </w:r>
      <w:r>
        <w:rPr>
          <w:sz w:val="24"/>
        </w:rPr>
        <w:t>技术、力学创意训练、创客空间等训练，过程贯穿于前三个学年；另外包括不少于</w:t>
      </w:r>
      <w:r>
        <w:rPr>
          <w:rFonts w:ascii="Times New Roman" w:hAnsi="Times New Roman"/>
          <w:sz w:val="24"/>
        </w:rPr>
        <w:t>8</w:t>
      </w:r>
      <w:r>
        <w:rPr>
          <w:sz w:val="24"/>
        </w:rPr>
        <w:t>周的创新创业实践，建议安排在第四学年。</w:t>
      </w:r>
    </w:p>
    <w:p>
      <w:pPr>
        <w:spacing w:line="360" w:lineRule="auto"/>
        <w:ind w:firstLine="480" w:firstLineChars="200"/>
        <w:rPr>
          <w:sz w:val="24"/>
        </w:rPr>
      </w:pPr>
      <w:r>
        <w:rPr>
          <w:rFonts w:hint="eastAsia" w:ascii="Times New Roman" w:hAnsi="Times New Roman"/>
          <w:sz w:val="24"/>
          <w:lang w:val="en-US" w:eastAsia="zh-CN"/>
        </w:rPr>
        <w:t>3</w:t>
      </w:r>
      <w:r>
        <w:rPr>
          <w:rFonts w:hint="eastAsia"/>
          <w:sz w:val="24"/>
          <w:lang w:val="en-US" w:eastAsia="zh-CN"/>
        </w:rPr>
        <w:t xml:space="preserve">. </w:t>
      </w:r>
      <w:r>
        <w:rPr>
          <w:sz w:val="24"/>
        </w:rPr>
        <w:t>选修课程分为企业嵌入课程和职业拓展课程，企业嵌入课程由苏交科集团股份有限公司派企业导师以专题的形式进行授课，职业拓展课程由学生自主选修。</w:t>
      </w:r>
    </w:p>
    <w:p>
      <w:pPr>
        <w:spacing w:line="360" w:lineRule="auto"/>
        <w:ind w:firstLine="480" w:firstLineChars="200"/>
        <w:rPr>
          <w:sz w:val="24"/>
        </w:rPr>
      </w:pPr>
      <w:r>
        <w:rPr>
          <w:rFonts w:hint="eastAsia" w:ascii="Times New Roman" w:hAnsi="Times New Roman"/>
          <w:sz w:val="24"/>
          <w:lang w:val="en-US" w:eastAsia="zh-CN"/>
        </w:rPr>
        <w:t>4</w:t>
      </w:r>
      <w:r>
        <w:rPr>
          <w:rFonts w:hint="eastAsia"/>
          <w:sz w:val="24"/>
          <w:lang w:val="en-US" w:eastAsia="zh-CN"/>
        </w:rPr>
        <w:t xml:space="preserve">. </w:t>
      </w:r>
      <w:r>
        <w:rPr>
          <w:sz w:val="24"/>
        </w:rPr>
        <w:t>利用课余时间，开展形式多样的课外活动和社会实践，丰富学生的业余生活，为学生提供自主学习的空间，注意加强学生实践和创新能力的培养。</w:t>
      </w:r>
    </w:p>
    <w:p>
      <w:pPr>
        <w:pStyle w:val="15"/>
        <w:spacing w:line="360" w:lineRule="auto"/>
        <w:contextualSpacing/>
        <w:rPr>
          <w:b/>
          <w:bCs/>
          <w:sz w:val="28"/>
        </w:rPr>
      </w:pPr>
    </w:p>
    <w:p>
      <w:pPr>
        <w:pStyle w:val="15"/>
        <w:spacing w:line="360" w:lineRule="auto"/>
        <w:contextualSpacing/>
        <w:rPr>
          <w:b/>
          <w:bCs/>
          <w:sz w:val="28"/>
        </w:rPr>
      </w:pPr>
    </w:p>
    <w:sectPr>
      <w:headerReference r:id="rId3" w:type="default"/>
      <w:footerReference r:id="rId4" w:type="default"/>
      <w:footerReference r:id="rId5" w:type="even"/>
      <w:pgSz w:w="11906" w:h="16838"/>
      <w:pgMar w:top="1418" w:right="1758" w:bottom="1361"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- 2 -</w:t>
    </w:r>
    <w:r>
      <w:rPr>
        <w:rStyle w:val="13"/>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5AF213"/>
    <w:multiLevelType w:val="singleLevel"/>
    <w:tmpl w:val="DF5AF213"/>
    <w:lvl w:ilvl="0" w:tentative="0">
      <w:start w:val="1"/>
      <w:numFmt w:val="decimalEnclosedCircleChinese"/>
      <w:suff w:val="nothing"/>
      <w:lvlText w:val="%1　"/>
      <w:lvlJc w:val="left"/>
      <w:pPr>
        <w:ind w:left="0" w:firstLine="400"/>
      </w:pPr>
      <w:rPr>
        <w:rFonts w:hint="eastAsia"/>
      </w:rPr>
    </w:lvl>
  </w:abstractNum>
  <w:abstractNum w:abstractNumId="1">
    <w:nsid w:val="1E4CA205"/>
    <w:multiLevelType w:val="singleLevel"/>
    <w:tmpl w:val="1E4CA205"/>
    <w:lvl w:ilvl="0" w:tentative="0">
      <w:start w:val="1"/>
      <w:numFmt w:val="decimalEnclosedCircleChinese"/>
      <w:suff w:val="nothing"/>
      <w:lvlText w:val="%1　"/>
      <w:lvlJc w:val="left"/>
      <w:pPr>
        <w:ind w:left="0" w:firstLine="400"/>
      </w:pPr>
      <w:rPr>
        <w:rFonts w:hint="eastAsia"/>
      </w:rPr>
    </w:lvl>
  </w:abstractNum>
  <w:abstractNum w:abstractNumId="2">
    <w:nsid w:val="393C90A8"/>
    <w:multiLevelType w:val="singleLevel"/>
    <w:tmpl w:val="393C90A8"/>
    <w:lvl w:ilvl="0" w:tentative="0">
      <w:start w:val="1"/>
      <w:numFmt w:val="decimalEnclosedCircleChinese"/>
      <w:suff w:val="nothing"/>
      <w:lvlText w:val="%1　"/>
      <w:lvlJc w:val="left"/>
      <w:pPr>
        <w:ind w:left="0" w:firstLine="400"/>
      </w:pPr>
      <w:rPr>
        <w:rFonts w:hint="eastAsia"/>
      </w:rPr>
    </w:lvl>
  </w:abstractNum>
  <w:abstractNum w:abstractNumId="3">
    <w:nsid w:val="3E272D4C"/>
    <w:multiLevelType w:val="multilevel"/>
    <w:tmpl w:val="3E272D4C"/>
    <w:lvl w:ilvl="0" w:tentative="0">
      <w:start w:val="1"/>
      <w:numFmt w:val="japaneseCounting"/>
      <w:lvlText w:val="（%1）"/>
      <w:lvlJc w:val="left"/>
      <w:pPr>
        <w:ind w:left="1447" w:hanging="885"/>
      </w:pPr>
      <w:rPr>
        <w:rFonts w:hint="eastAsia"/>
        <w:sz w:val="28"/>
        <w:szCs w:val="28"/>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jMjc0YWU1MTQxMDAwOWM0OTBhZDhiMDZjMGU3NDUifQ=="/>
  </w:docVars>
  <w:rsids>
    <w:rsidRoot w:val="006352E6"/>
    <w:rsid w:val="00007075"/>
    <w:rsid w:val="0001042C"/>
    <w:rsid w:val="00011D60"/>
    <w:rsid w:val="00013E6C"/>
    <w:rsid w:val="00014417"/>
    <w:rsid w:val="00022F9F"/>
    <w:rsid w:val="0002752B"/>
    <w:rsid w:val="000334CE"/>
    <w:rsid w:val="00035558"/>
    <w:rsid w:val="000444CC"/>
    <w:rsid w:val="00051D1D"/>
    <w:rsid w:val="0005599D"/>
    <w:rsid w:val="00062A63"/>
    <w:rsid w:val="00064446"/>
    <w:rsid w:val="00065AD7"/>
    <w:rsid w:val="000811A1"/>
    <w:rsid w:val="00087F1D"/>
    <w:rsid w:val="000908EA"/>
    <w:rsid w:val="00094070"/>
    <w:rsid w:val="000A1F58"/>
    <w:rsid w:val="000A20AB"/>
    <w:rsid w:val="000A3872"/>
    <w:rsid w:val="000B4087"/>
    <w:rsid w:val="000B580F"/>
    <w:rsid w:val="000B7B98"/>
    <w:rsid w:val="000C472D"/>
    <w:rsid w:val="000C5625"/>
    <w:rsid w:val="000C6061"/>
    <w:rsid w:val="000C6220"/>
    <w:rsid w:val="000D0C9D"/>
    <w:rsid w:val="000D1AB3"/>
    <w:rsid w:val="000D31E3"/>
    <w:rsid w:val="000D651C"/>
    <w:rsid w:val="000E207A"/>
    <w:rsid w:val="001052DB"/>
    <w:rsid w:val="00121E12"/>
    <w:rsid w:val="0012360E"/>
    <w:rsid w:val="00124F10"/>
    <w:rsid w:val="00125990"/>
    <w:rsid w:val="00126401"/>
    <w:rsid w:val="0013055B"/>
    <w:rsid w:val="00146429"/>
    <w:rsid w:val="00147081"/>
    <w:rsid w:val="00151B5F"/>
    <w:rsid w:val="00156894"/>
    <w:rsid w:val="00156F1F"/>
    <w:rsid w:val="00160B72"/>
    <w:rsid w:val="00165F42"/>
    <w:rsid w:val="0018292E"/>
    <w:rsid w:val="00183C72"/>
    <w:rsid w:val="00184516"/>
    <w:rsid w:val="00197056"/>
    <w:rsid w:val="001A0B09"/>
    <w:rsid w:val="001A5820"/>
    <w:rsid w:val="001B0058"/>
    <w:rsid w:val="001B203C"/>
    <w:rsid w:val="001C6E89"/>
    <w:rsid w:val="001E302C"/>
    <w:rsid w:val="001E3815"/>
    <w:rsid w:val="001F10CA"/>
    <w:rsid w:val="001F381F"/>
    <w:rsid w:val="00215EEA"/>
    <w:rsid w:val="00233B2A"/>
    <w:rsid w:val="002362FB"/>
    <w:rsid w:val="0024228E"/>
    <w:rsid w:val="002432A7"/>
    <w:rsid w:val="00261874"/>
    <w:rsid w:val="00262D75"/>
    <w:rsid w:val="00267368"/>
    <w:rsid w:val="00272716"/>
    <w:rsid w:val="002816A9"/>
    <w:rsid w:val="00285B62"/>
    <w:rsid w:val="00290A3D"/>
    <w:rsid w:val="00292898"/>
    <w:rsid w:val="002A14F9"/>
    <w:rsid w:val="002B2058"/>
    <w:rsid w:val="002C008C"/>
    <w:rsid w:val="002D0BFD"/>
    <w:rsid w:val="002D6A85"/>
    <w:rsid w:val="002F189F"/>
    <w:rsid w:val="002F3C72"/>
    <w:rsid w:val="002F4D54"/>
    <w:rsid w:val="00300BAC"/>
    <w:rsid w:val="00302280"/>
    <w:rsid w:val="0031225B"/>
    <w:rsid w:val="00314365"/>
    <w:rsid w:val="00321F55"/>
    <w:rsid w:val="0032209E"/>
    <w:rsid w:val="00336208"/>
    <w:rsid w:val="00337CF9"/>
    <w:rsid w:val="00342DFD"/>
    <w:rsid w:val="003562A2"/>
    <w:rsid w:val="003623EA"/>
    <w:rsid w:val="003626BA"/>
    <w:rsid w:val="003640BB"/>
    <w:rsid w:val="00366CEF"/>
    <w:rsid w:val="00374F78"/>
    <w:rsid w:val="0039090B"/>
    <w:rsid w:val="00391CD4"/>
    <w:rsid w:val="00395E31"/>
    <w:rsid w:val="003A5286"/>
    <w:rsid w:val="003A7C18"/>
    <w:rsid w:val="003B0490"/>
    <w:rsid w:val="003B5F9D"/>
    <w:rsid w:val="003C3E6E"/>
    <w:rsid w:val="003C50C2"/>
    <w:rsid w:val="003E34AC"/>
    <w:rsid w:val="003E6D81"/>
    <w:rsid w:val="003F3AD4"/>
    <w:rsid w:val="003F5D03"/>
    <w:rsid w:val="003F66EA"/>
    <w:rsid w:val="0040163A"/>
    <w:rsid w:val="00402671"/>
    <w:rsid w:val="00403B7D"/>
    <w:rsid w:val="004139CB"/>
    <w:rsid w:val="004168E3"/>
    <w:rsid w:val="004265CE"/>
    <w:rsid w:val="004318BE"/>
    <w:rsid w:val="0043342E"/>
    <w:rsid w:val="00436AF4"/>
    <w:rsid w:val="0044038D"/>
    <w:rsid w:val="00447FC3"/>
    <w:rsid w:val="004505F7"/>
    <w:rsid w:val="00450D1E"/>
    <w:rsid w:val="00451737"/>
    <w:rsid w:val="00477974"/>
    <w:rsid w:val="0048482F"/>
    <w:rsid w:val="00484B84"/>
    <w:rsid w:val="00490F17"/>
    <w:rsid w:val="004A06C7"/>
    <w:rsid w:val="004A5ED3"/>
    <w:rsid w:val="004A7804"/>
    <w:rsid w:val="004B0D84"/>
    <w:rsid w:val="004B2160"/>
    <w:rsid w:val="004B4715"/>
    <w:rsid w:val="004C13F7"/>
    <w:rsid w:val="004C21FA"/>
    <w:rsid w:val="004E31E2"/>
    <w:rsid w:val="004F234C"/>
    <w:rsid w:val="0050045B"/>
    <w:rsid w:val="00503AFB"/>
    <w:rsid w:val="005117A6"/>
    <w:rsid w:val="00521366"/>
    <w:rsid w:val="005269B3"/>
    <w:rsid w:val="0053580F"/>
    <w:rsid w:val="00540D27"/>
    <w:rsid w:val="005422AA"/>
    <w:rsid w:val="00542AA6"/>
    <w:rsid w:val="00545004"/>
    <w:rsid w:val="00563B3A"/>
    <w:rsid w:val="005641B7"/>
    <w:rsid w:val="00565C17"/>
    <w:rsid w:val="00586EF6"/>
    <w:rsid w:val="005B123D"/>
    <w:rsid w:val="005B3C18"/>
    <w:rsid w:val="005D52C2"/>
    <w:rsid w:val="005E0F54"/>
    <w:rsid w:val="00607510"/>
    <w:rsid w:val="0061048D"/>
    <w:rsid w:val="006160D7"/>
    <w:rsid w:val="00617C06"/>
    <w:rsid w:val="00622C43"/>
    <w:rsid w:val="006246CE"/>
    <w:rsid w:val="006255EF"/>
    <w:rsid w:val="00626B04"/>
    <w:rsid w:val="00631CA5"/>
    <w:rsid w:val="006352E6"/>
    <w:rsid w:val="006417A9"/>
    <w:rsid w:val="006515B8"/>
    <w:rsid w:val="00656B36"/>
    <w:rsid w:val="00677BA0"/>
    <w:rsid w:val="0068047D"/>
    <w:rsid w:val="00687E36"/>
    <w:rsid w:val="0069047F"/>
    <w:rsid w:val="00691D5F"/>
    <w:rsid w:val="00692266"/>
    <w:rsid w:val="006A10C0"/>
    <w:rsid w:val="006A59D2"/>
    <w:rsid w:val="006A5D75"/>
    <w:rsid w:val="006A5FFF"/>
    <w:rsid w:val="006B173A"/>
    <w:rsid w:val="006B5B2B"/>
    <w:rsid w:val="006D0824"/>
    <w:rsid w:val="006D099C"/>
    <w:rsid w:val="007116C4"/>
    <w:rsid w:val="00714157"/>
    <w:rsid w:val="00716FC2"/>
    <w:rsid w:val="007249E0"/>
    <w:rsid w:val="00732AFE"/>
    <w:rsid w:val="0073309D"/>
    <w:rsid w:val="007364AC"/>
    <w:rsid w:val="00736764"/>
    <w:rsid w:val="00754F23"/>
    <w:rsid w:val="00771484"/>
    <w:rsid w:val="00776000"/>
    <w:rsid w:val="00777E48"/>
    <w:rsid w:val="00786D70"/>
    <w:rsid w:val="0078735F"/>
    <w:rsid w:val="007935E6"/>
    <w:rsid w:val="0079571B"/>
    <w:rsid w:val="007977C8"/>
    <w:rsid w:val="007A2C28"/>
    <w:rsid w:val="007B1A90"/>
    <w:rsid w:val="007B4030"/>
    <w:rsid w:val="007D1C3E"/>
    <w:rsid w:val="007D39FC"/>
    <w:rsid w:val="007D3FCA"/>
    <w:rsid w:val="007D4A3C"/>
    <w:rsid w:val="007E076D"/>
    <w:rsid w:val="007E0EB3"/>
    <w:rsid w:val="007E2C27"/>
    <w:rsid w:val="007F51A6"/>
    <w:rsid w:val="00803731"/>
    <w:rsid w:val="00803B1F"/>
    <w:rsid w:val="00805A5C"/>
    <w:rsid w:val="0081398E"/>
    <w:rsid w:val="00815394"/>
    <w:rsid w:val="00815A8C"/>
    <w:rsid w:val="00816CDA"/>
    <w:rsid w:val="008171F2"/>
    <w:rsid w:val="008247DF"/>
    <w:rsid w:val="00832EB9"/>
    <w:rsid w:val="008340E3"/>
    <w:rsid w:val="00834194"/>
    <w:rsid w:val="0083746B"/>
    <w:rsid w:val="00842420"/>
    <w:rsid w:val="00847B09"/>
    <w:rsid w:val="00854105"/>
    <w:rsid w:val="00855CFF"/>
    <w:rsid w:val="00867549"/>
    <w:rsid w:val="008807BE"/>
    <w:rsid w:val="00880FD3"/>
    <w:rsid w:val="008906D5"/>
    <w:rsid w:val="0089176C"/>
    <w:rsid w:val="008975C7"/>
    <w:rsid w:val="008A1984"/>
    <w:rsid w:val="008D61E5"/>
    <w:rsid w:val="008D6D5C"/>
    <w:rsid w:val="008E3A95"/>
    <w:rsid w:val="008E7373"/>
    <w:rsid w:val="008F184A"/>
    <w:rsid w:val="008F21C8"/>
    <w:rsid w:val="009115EB"/>
    <w:rsid w:val="00916AD5"/>
    <w:rsid w:val="00921463"/>
    <w:rsid w:val="00923949"/>
    <w:rsid w:val="00931447"/>
    <w:rsid w:val="00933D36"/>
    <w:rsid w:val="00941CB0"/>
    <w:rsid w:val="009429C1"/>
    <w:rsid w:val="00953257"/>
    <w:rsid w:val="009537FE"/>
    <w:rsid w:val="00953CC7"/>
    <w:rsid w:val="009542A0"/>
    <w:rsid w:val="00954DA6"/>
    <w:rsid w:val="00961AD4"/>
    <w:rsid w:val="00962319"/>
    <w:rsid w:val="00966AC2"/>
    <w:rsid w:val="00967877"/>
    <w:rsid w:val="00967EC4"/>
    <w:rsid w:val="00981624"/>
    <w:rsid w:val="00983FB6"/>
    <w:rsid w:val="0098411D"/>
    <w:rsid w:val="00987DF6"/>
    <w:rsid w:val="00990CD4"/>
    <w:rsid w:val="00997A30"/>
    <w:rsid w:val="009A5331"/>
    <w:rsid w:val="009B07D1"/>
    <w:rsid w:val="009B25D2"/>
    <w:rsid w:val="009B5CC4"/>
    <w:rsid w:val="009B6A6D"/>
    <w:rsid w:val="009C1EDB"/>
    <w:rsid w:val="009D6830"/>
    <w:rsid w:val="009E0D66"/>
    <w:rsid w:val="009E4908"/>
    <w:rsid w:val="009F6ADB"/>
    <w:rsid w:val="00A032D4"/>
    <w:rsid w:val="00A10F88"/>
    <w:rsid w:val="00A123DF"/>
    <w:rsid w:val="00A33747"/>
    <w:rsid w:val="00A37C33"/>
    <w:rsid w:val="00A52F2E"/>
    <w:rsid w:val="00A54746"/>
    <w:rsid w:val="00A56F53"/>
    <w:rsid w:val="00A64651"/>
    <w:rsid w:val="00A7011C"/>
    <w:rsid w:val="00A90F0F"/>
    <w:rsid w:val="00A97D61"/>
    <w:rsid w:val="00AA037E"/>
    <w:rsid w:val="00AA3EA3"/>
    <w:rsid w:val="00AA4C03"/>
    <w:rsid w:val="00AA5308"/>
    <w:rsid w:val="00AB2450"/>
    <w:rsid w:val="00AC283D"/>
    <w:rsid w:val="00AD1E77"/>
    <w:rsid w:val="00AD5AA7"/>
    <w:rsid w:val="00AE1A3A"/>
    <w:rsid w:val="00AE6031"/>
    <w:rsid w:val="00AE646D"/>
    <w:rsid w:val="00AF0622"/>
    <w:rsid w:val="00AF0CF3"/>
    <w:rsid w:val="00AF0EDD"/>
    <w:rsid w:val="00AF18B6"/>
    <w:rsid w:val="00AF5189"/>
    <w:rsid w:val="00B01581"/>
    <w:rsid w:val="00B042E0"/>
    <w:rsid w:val="00B043F7"/>
    <w:rsid w:val="00B10317"/>
    <w:rsid w:val="00B111F9"/>
    <w:rsid w:val="00B12598"/>
    <w:rsid w:val="00B15525"/>
    <w:rsid w:val="00B21140"/>
    <w:rsid w:val="00B4355B"/>
    <w:rsid w:val="00B60E5D"/>
    <w:rsid w:val="00B60ED9"/>
    <w:rsid w:val="00B628A8"/>
    <w:rsid w:val="00B62B2D"/>
    <w:rsid w:val="00B647C7"/>
    <w:rsid w:val="00B6506E"/>
    <w:rsid w:val="00B66D74"/>
    <w:rsid w:val="00B70248"/>
    <w:rsid w:val="00B7352B"/>
    <w:rsid w:val="00B7408C"/>
    <w:rsid w:val="00B8075C"/>
    <w:rsid w:val="00B8289C"/>
    <w:rsid w:val="00B8644B"/>
    <w:rsid w:val="00B86FF6"/>
    <w:rsid w:val="00B9047C"/>
    <w:rsid w:val="00B910AC"/>
    <w:rsid w:val="00B9244C"/>
    <w:rsid w:val="00B954B2"/>
    <w:rsid w:val="00BA6E3D"/>
    <w:rsid w:val="00BB2B67"/>
    <w:rsid w:val="00BD0187"/>
    <w:rsid w:val="00BD1D28"/>
    <w:rsid w:val="00BF17FB"/>
    <w:rsid w:val="00BF5AC6"/>
    <w:rsid w:val="00C048A5"/>
    <w:rsid w:val="00C07482"/>
    <w:rsid w:val="00C1330F"/>
    <w:rsid w:val="00C1626B"/>
    <w:rsid w:val="00C17AD4"/>
    <w:rsid w:val="00C2493E"/>
    <w:rsid w:val="00C253F2"/>
    <w:rsid w:val="00C45D47"/>
    <w:rsid w:val="00C524FE"/>
    <w:rsid w:val="00C541B9"/>
    <w:rsid w:val="00C64D0F"/>
    <w:rsid w:val="00C652E8"/>
    <w:rsid w:val="00C7339B"/>
    <w:rsid w:val="00C74B82"/>
    <w:rsid w:val="00C87E17"/>
    <w:rsid w:val="00C959DD"/>
    <w:rsid w:val="00C9613F"/>
    <w:rsid w:val="00CA2061"/>
    <w:rsid w:val="00CB27B1"/>
    <w:rsid w:val="00CC0207"/>
    <w:rsid w:val="00CC08C2"/>
    <w:rsid w:val="00CC1A18"/>
    <w:rsid w:val="00CD3BCF"/>
    <w:rsid w:val="00CD4F68"/>
    <w:rsid w:val="00CD79E2"/>
    <w:rsid w:val="00CE6337"/>
    <w:rsid w:val="00CE7401"/>
    <w:rsid w:val="00CF258B"/>
    <w:rsid w:val="00D079B5"/>
    <w:rsid w:val="00D12A0E"/>
    <w:rsid w:val="00D13B8A"/>
    <w:rsid w:val="00D15AED"/>
    <w:rsid w:val="00D23857"/>
    <w:rsid w:val="00D2798E"/>
    <w:rsid w:val="00D3405F"/>
    <w:rsid w:val="00D356E0"/>
    <w:rsid w:val="00D3705C"/>
    <w:rsid w:val="00D47B7E"/>
    <w:rsid w:val="00D74327"/>
    <w:rsid w:val="00D775EA"/>
    <w:rsid w:val="00D978AF"/>
    <w:rsid w:val="00DA0ECE"/>
    <w:rsid w:val="00DA3D51"/>
    <w:rsid w:val="00DA6CF3"/>
    <w:rsid w:val="00DA6E69"/>
    <w:rsid w:val="00DB7831"/>
    <w:rsid w:val="00DF1806"/>
    <w:rsid w:val="00E04059"/>
    <w:rsid w:val="00E0572F"/>
    <w:rsid w:val="00E10C2A"/>
    <w:rsid w:val="00E11F9F"/>
    <w:rsid w:val="00E20B85"/>
    <w:rsid w:val="00E22529"/>
    <w:rsid w:val="00E25847"/>
    <w:rsid w:val="00E259F6"/>
    <w:rsid w:val="00E25AC5"/>
    <w:rsid w:val="00E27175"/>
    <w:rsid w:val="00E2783A"/>
    <w:rsid w:val="00E44464"/>
    <w:rsid w:val="00E45FFA"/>
    <w:rsid w:val="00E70D63"/>
    <w:rsid w:val="00E722B3"/>
    <w:rsid w:val="00E73A0E"/>
    <w:rsid w:val="00E85F8E"/>
    <w:rsid w:val="00E91032"/>
    <w:rsid w:val="00E97FAE"/>
    <w:rsid w:val="00EA03EA"/>
    <w:rsid w:val="00EA5C8A"/>
    <w:rsid w:val="00EC6474"/>
    <w:rsid w:val="00ED04A8"/>
    <w:rsid w:val="00EE233A"/>
    <w:rsid w:val="00EE63D2"/>
    <w:rsid w:val="00EF38C0"/>
    <w:rsid w:val="00EF50E7"/>
    <w:rsid w:val="00F065E9"/>
    <w:rsid w:val="00F2454E"/>
    <w:rsid w:val="00F269D2"/>
    <w:rsid w:val="00F26BFF"/>
    <w:rsid w:val="00F31A1F"/>
    <w:rsid w:val="00F32D6D"/>
    <w:rsid w:val="00F43054"/>
    <w:rsid w:val="00F509BC"/>
    <w:rsid w:val="00F55027"/>
    <w:rsid w:val="00F63A1D"/>
    <w:rsid w:val="00F64C69"/>
    <w:rsid w:val="00F6618E"/>
    <w:rsid w:val="00F66DF4"/>
    <w:rsid w:val="00F7702F"/>
    <w:rsid w:val="00F7781F"/>
    <w:rsid w:val="00F9301F"/>
    <w:rsid w:val="00F93AB0"/>
    <w:rsid w:val="00F96E0B"/>
    <w:rsid w:val="00FB0DC9"/>
    <w:rsid w:val="00FC035D"/>
    <w:rsid w:val="00FE020F"/>
    <w:rsid w:val="00FE4DC2"/>
    <w:rsid w:val="00FE7BD0"/>
    <w:rsid w:val="00FF3015"/>
    <w:rsid w:val="00FF6BEC"/>
    <w:rsid w:val="04C323A2"/>
    <w:rsid w:val="05F572F9"/>
    <w:rsid w:val="06492E89"/>
    <w:rsid w:val="06FE1F6E"/>
    <w:rsid w:val="07F713C6"/>
    <w:rsid w:val="08763056"/>
    <w:rsid w:val="08CF558A"/>
    <w:rsid w:val="08E871A4"/>
    <w:rsid w:val="094D5EAB"/>
    <w:rsid w:val="0A7840FD"/>
    <w:rsid w:val="0ADB2B2E"/>
    <w:rsid w:val="0B0475F8"/>
    <w:rsid w:val="0E99203C"/>
    <w:rsid w:val="0FC91529"/>
    <w:rsid w:val="10667C47"/>
    <w:rsid w:val="10DB1F34"/>
    <w:rsid w:val="122A1502"/>
    <w:rsid w:val="12CC602C"/>
    <w:rsid w:val="17C43BDF"/>
    <w:rsid w:val="18196638"/>
    <w:rsid w:val="183C2DD6"/>
    <w:rsid w:val="1CA80F14"/>
    <w:rsid w:val="1D3B374F"/>
    <w:rsid w:val="1F0152BD"/>
    <w:rsid w:val="1FC21BE1"/>
    <w:rsid w:val="20D134EE"/>
    <w:rsid w:val="22CF429E"/>
    <w:rsid w:val="23894DB3"/>
    <w:rsid w:val="24D2083C"/>
    <w:rsid w:val="266A56CF"/>
    <w:rsid w:val="26A5448A"/>
    <w:rsid w:val="27A1126A"/>
    <w:rsid w:val="2898677D"/>
    <w:rsid w:val="29061143"/>
    <w:rsid w:val="2A6E6BBA"/>
    <w:rsid w:val="2AFC349E"/>
    <w:rsid w:val="2C27054A"/>
    <w:rsid w:val="2DF91008"/>
    <w:rsid w:val="2F3441BF"/>
    <w:rsid w:val="2F9400A6"/>
    <w:rsid w:val="306D4AAD"/>
    <w:rsid w:val="310919C5"/>
    <w:rsid w:val="31715B6A"/>
    <w:rsid w:val="3489567C"/>
    <w:rsid w:val="373E7885"/>
    <w:rsid w:val="378A1B23"/>
    <w:rsid w:val="37E07E0E"/>
    <w:rsid w:val="382F6574"/>
    <w:rsid w:val="39872B7F"/>
    <w:rsid w:val="3A333AE6"/>
    <w:rsid w:val="3A75779B"/>
    <w:rsid w:val="3AF410E4"/>
    <w:rsid w:val="3C584B23"/>
    <w:rsid w:val="3C6E6AA4"/>
    <w:rsid w:val="3DE103C6"/>
    <w:rsid w:val="3EB324ED"/>
    <w:rsid w:val="3EF362E1"/>
    <w:rsid w:val="3FA24D3D"/>
    <w:rsid w:val="41BD001D"/>
    <w:rsid w:val="41DA6655"/>
    <w:rsid w:val="423966D2"/>
    <w:rsid w:val="423E4F6B"/>
    <w:rsid w:val="43767C06"/>
    <w:rsid w:val="44481572"/>
    <w:rsid w:val="44FC3C11"/>
    <w:rsid w:val="45376BF2"/>
    <w:rsid w:val="4633248D"/>
    <w:rsid w:val="477D269F"/>
    <w:rsid w:val="494A1FD5"/>
    <w:rsid w:val="498A23AF"/>
    <w:rsid w:val="4C490F33"/>
    <w:rsid w:val="4C7173D1"/>
    <w:rsid w:val="4DF23662"/>
    <w:rsid w:val="4E062A39"/>
    <w:rsid w:val="4F077C56"/>
    <w:rsid w:val="4F312535"/>
    <w:rsid w:val="533C575C"/>
    <w:rsid w:val="55DB51FD"/>
    <w:rsid w:val="57E415D3"/>
    <w:rsid w:val="596F3331"/>
    <w:rsid w:val="5ACC27FA"/>
    <w:rsid w:val="5C974A4A"/>
    <w:rsid w:val="5D467260"/>
    <w:rsid w:val="5F9969C4"/>
    <w:rsid w:val="5FED67FF"/>
    <w:rsid w:val="609F3952"/>
    <w:rsid w:val="619A7F14"/>
    <w:rsid w:val="62314848"/>
    <w:rsid w:val="644A52D4"/>
    <w:rsid w:val="656C666D"/>
    <w:rsid w:val="65A05EA6"/>
    <w:rsid w:val="65E95143"/>
    <w:rsid w:val="66176658"/>
    <w:rsid w:val="663A1BD8"/>
    <w:rsid w:val="680F2164"/>
    <w:rsid w:val="695F7352"/>
    <w:rsid w:val="6B784506"/>
    <w:rsid w:val="6BA83F7F"/>
    <w:rsid w:val="6D813242"/>
    <w:rsid w:val="6D982E07"/>
    <w:rsid w:val="6E3C695F"/>
    <w:rsid w:val="706E322F"/>
    <w:rsid w:val="71662163"/>
    <w:rsid w:val="76B21411"/>
    <w:rsid w:val="79191090"/>
    <w:rsid w:val="79AF31D0"/>
    <w:rsid w:val="79C93782"/>
    <w:rsid w:val="7BF74E1F"/>
    <w:rsid w:val="7F6B1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99"/>
    <w:pPr>
      <w:jc w:val="left"/>
    </w:pPr>
  </w:style>
  <w:style w:type="paragraph" w:styleId="3">
    <w:name w:val="Body Text 3"/>
    <w:basedOn w:val="1"/>
    <w:qFormat/>
    <w:uiPriority w:val="0"/>
    <w:pPr>
      <w:spacing w:after="120"/>
    </w:pPr>
    <w:rPr>
      <w:sz w:val="16"/>
      <w:szCs w:val="16"/>
    </w:rPr>
  </w:style>
  <w:style w:type="paragraph" w:styleId="4">
    <w:name w:val="Body Text Indent 2"/>
    <w:basedOn w:val="1"/>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spacing w:after="120" w:line="480" w:lineRule="auto"/>
    </w:pPr>
  </w:style>
  <w:style w:type="paragraph" w:styleId="9">
    <w:name w:val="annotation subject"/>
    <w:basedOn w:val="2"/>
    <w:next w:val="2"/>
    <w:link w:val="17"/>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qFormat/>
    <w:uiPriority w:val="0"/>
    <w:rPr>
      <w:sz w:val="21"/>
      <w:szCs w:val="21"/>
    </w:rPr>
  </w:style>
  <w:style w:type="paragraph" w:customStyle="1" w:styleId="15">
    <w:name w:val="样式1"/>
    <w:basedOn w:val="1"/>
    <w:qFormat/>
    <w:uiPriority w:val="0"/>
  </w:style>
  <w:style w:type="character" w:customStyle="1" w:styleId="16">
    <w:name w:val="批注文字 字符"/>
    <w:link w:val="2"/>
    <w:qFormat/>
    <w:uiPriority w:val="99"/>
    <w:rPr>
      <w:kern w:val="2"/>
      <w:sz w:val="21"/>
      <w:szCs w:val="24"/>
    </w:rPr>
  </w:style>
  <w:style w:type="character" w:customStyle="1" w:styleId="17">
    <w:name w:val="批注主题 字符"/>
    <w:link w:val="9"/>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AF1DD-A1FA-412D-BEFF-FBD78855A3C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18652</Words>
  <Characters>18908</Characters>
  <Lines>131</Lines>
  <Paragraphs>36</Paragraphs>
  <TotalTime>2</TotalTime>
  <ScaleCrop>false</ScaleCrop>
  <LinksUpToDate>false</LinksUpToDate>
  <CharactersWithSpaces>18963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2021-06-09T08:06:00Z</dcterms:created>
  <dc:creator>walkinnet</dc:creator>
  <cp:lastModifiedBy>赵岩荆</cp:lastModifiedBy>
  <cp:lastPrinted>2018-04-19T02:41:00Z</cp:lastPrinted>
  <dcterms:modified xsi:type="dcterms:W3CDTF">2023-05-28T11:48:59Z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05B0BF67C306467ABB1CE54F2E9E8031</vt:lpwstr>
  </property>
</Properties>
</file>