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  <Override PartName="/word/theme/themeOverride2.xml" ContentType="application/vnd.openxmlformats-officedocument.themeOverride+xml"/>
  <Override PartName="/word/theme/themeOverride3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eastAsia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“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Hans"/>
        </w:rPr>
        <w:t>关务与外贸服务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”专业人才培养调研报告</w:t>
      </w:r>
    </w:p>
    <w:p>
      <w:pPr>
        <w:spacing w:line="360" w:lineRule="auto"/>
        <w:jc w:val="both"/>
        <w:rPr>
          <w:rFonts w:ascii="宋体"/>
          <w:b/>
          <w:bCs/>
          <w:color w:val="00000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Hans"/>
        </w:rPr>
        <w:t>外贸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行业</w:t>
      </w:r>
      <w:r>
        <w:rPr>
          <w:rFonts w:hint="eastAsia" w:ascii="宋体"/>
          <w:b/>
          <w:bCs/>
          <w:color w:val="000000"/>
          <w:sz w:val="24"/>
          <w:szCs w:val="24"/>
          <w:lang w:val="en-US" w:eastAsia="zh-CN"/>
        </w:rPr>
        <w:t>背景分析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eastAsia="宋体"/>
          <w:b w:val="0"/>
          <w:bCs w:val="0"/>
          <w:color w:val="000000"/>
          <w:sz w:val="24"/>
          <w:szCs w:val="24"/>
          <w:lang w:val="en-US" w:eastAsia="zh-Hans"/>
        </w:rPr>
      </w:pPr>
      <w:r>
        <w:rPr>
          <w:rFonts w:hint="default" w:ascii="宋体"/>
          <w:b w:val="0"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/>
          <w:b w:val="0"/>
          <w:bCs w:val="0"/>
          <w:color w:val="000000"/>
          <w:sz w:val="24"/>
          <w:szCs w:val="24"/>
          <w:lang w:val="en-US" w:eastAsia="zh-Hans"/>
        </w:rPr>
        <w:t>一</w:t>
      </w:r>
      <w:r>
        <w:rPr>
          <w:rFonts w:hint="default" w:ascii="宋体"/>
          <w:b w:val="0"/>
          <w:bCs w:val="0"/>
          <w:color w:val="000000"/>
          <w:sz w:val="24"/>
          <w:szCs w:val="24"/>
          <w:lang w:eastAsia="zh-Hans"/>
        </w:rPr>
        <w:t>）</w:t>
      </w:r>
      <w:r>
        <w:rPr>
          <w:rFonts w:hint="eastAsia" w:ascii="宋体"/>
          <w:b w:val="0"/>
          <w:bCs w:val="0"/>
          <w:color w:val="000000"/>
          <w:sz w:val="24"/>
          <w:szCs w:val="24"/>
          <w:lang w:val="en-US" w:eastAsia="zh-Hans"/>
        </w:rPr>
        <w:t>江苏省外贸发展现状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入世二十</w:t>
      </w:r>
      <w:r>
        <w:rPr>
          <w:rFonts w:hint="eastAsia" w:ascii="宋体" w:hAnsi="宋体"/>
          <w:sz w:val="24"/>
          <w:szCs w:val="24"/>
          <w:lang w:val="en-US" w:eastAsia="zh-CN"/>
        </w:rPr>
        <w:t>多</w:t>
      </w:r>
      <w:r>
        <w:rPr>
          <w:rFonts w:hint="eastAsia" w:ascii="宋体" w:hAnsi="宋体"/>
          <w:sz w:val="24"/>
          <w:szCs w:val="24"/>
          <w:lang w:val="en-US" w:eastAsia="zh-Hans"/>
        </w:rPr>
        <w:t>年来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我国对外贸易发展迅速</w:t>
      </w:r>
      <w:r>
        <w:rPr>
          <w:rFonts w:hint="default" w:ascii="宋体" w:hAnsi="宋体"/>
          <w:sz w:val="24"/>
          <w:szCs w:val="24"/>
          <w:lang w:eastAsia="zh-Hans"/>
        </w:rPr>
        <w:t>。</w:t>
      </w:r>
      <w:r>
        <w:rPr>
          <w:rFonts w:hint="eastAsia" w:ascii="宋体" w:hAnsi="宋体"/>
          <w:sz w:val="24"/>
          <w:szCs w:val="24"/>
          <w:lang w:val="en-US" w:eastAsia="zh-Hans"/>
        </w:rPr>
        <w:t>江苏省是我国对外贸易大省，地处于我国长三角地区，靠近经济发展中心上海</w:t>
      </w:r>
      <w:r>
        <w:rPr>
          <w:rFonts w:hint="eastAsia" w:ascii="宋体" w:hAnsi="宋体"/>
          <w:sz w:val="24"/>
          <w:szCs w:val="24"/>
          <w:lang w:val="en-US" w:eastAsia="zh-CN"/>
        </w:rPr>
        <w:t>。</w:t>
      </w:r>
      <w:r>
        <w:rPr>
          <w:rFonts w:hint="eastAsia" w:ascii="宋体" w:hAnsi="宋体"/>
          <w:sz w:val="24"/>
          <w:szCs w:val="24"/>
          <w:lang w:val="en-US" w:eastAsia="zh-Hans"/>
        </w:rPr>
        <w:t>依附于优异的地理环境优势</w:t>
      </w:r>
      <w:r>
        <w:rPr>
          <w:rFonts w:hint="eastAsia" w:ascii="宋体" w:hAnsi="宋体"/>
          <w:sz w:val="24"/>
          <w:szCs w:val="24"/>
          <w:lang w:val="en-US"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高端的人力资源和教育资源</w:t>
      </w:r>
      <w:r>
        <w:rPr>
          <w:rFonts w:hint="eastAsia" w:ascii="宋体" w:hAnsi="宋体"/>
          <w:sz w:val="24"/>
          <w:szCs w:val="24"/>
          <w:lang w:val="en-US"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行业集聚度高、消费市场范围大等特点</w:t>
      </w:r>
      <w:r>
        <w:rPr>
          <w:rFonts w:hint="eastAsia" w:ascii="宋体" w:hAnsi="宋体"/>
          <w:sz w:val="24"/>
          <w:szCs w:val="24"/>
          <w:lang w:val="en-US"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江苏省对外贸易规模一直保持着持续稳定的快速增长。即使受到新冠疫情的影响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202</w:t>
      </w:r>
      <w:r>
        <w:rPr>
          <w:rFonts w:hint="default" w:ascii="宋体" w:hAnsi="宋体"/>
          <w:sz w:val="24"/>
          <w:szCs w:val="24"/>
          <w:lang w:eastAsia="zh-CN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年，江苏省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进出口总额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仍达到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54454.9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亿元，规模再创历史新高，比上年增长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4.8%</w:t>
      </w:r>
      <w:r>
        <w:rPr>
          <w:rFonts w:hint="default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eastAsia="zh-CN" w:bidi="ar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一般贸易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进出口总额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31257.1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亿元，增长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7.1%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，占进出口总额比重为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57.4%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，比上年提升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1.2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个百分点。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default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202</w:t>
      </w:r>
      <w:r>
        <w:rPr>
          <w:rFonts w:hint="default" w:ascii="宋体" w:hAnsi="宋体"/>
          <w:sz w:val="24"/>
          <w:szCs w:val="24"/>
          <w:lang w:eastAsia="zh-CN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年，江苏省对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对欧盟、日本出口分别增长14.1%、4.2%，对印度、俄罗斯、东盟出口分别增长29.7%、4.2%和16.1%。从出口产品看，机电、高新技术产品出口额分别增长7.1%、7.2%。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对“一带一路”沿线国家进出口14902.9亿元，增长13.1%，连续7年保持增长；占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进出口总额比重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为27.4%，比上年提升2.0个百分点。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Hans" w:bidi="ar"/>
        </w:rPr>
        <w:t>可见</w:t>
      </w:r>
      <w:r>
        <w:rPr>
          <w:rFonts w:hint="default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eastAsia="zh-Hans" w:bidi="ar"/>
        </w:rPr>
        <w:t>，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Hans" w:bidi="ar"/>
        </w:rPr>
        <w:t>江苏省外贸地理重心发生转移</w:t>
      </w:r>
      <w:r>
        <w:rPr>
          <w:rFonts w:hint="default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eastAsia="zh-Hans" w:bidi="ar"/>
        </w:rPr>
        <w:t>，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Hans" w:bidi="ar"/>
        </w:rPr>
        <w:t>贸易结构不断优化</w:t>
      </w:r>
      <w:r>
        <w:rPr>
          <w:rFonts w:hint="default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eastAsia="zh-Hans" w:bidi="ar"/>
        </w:rPr>
        <w:t>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Hans"/>
        </w:rPr>
      </w:pPr>
      <w:r>
        <w:rPr>
          <w:rFonts w:hint="default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Hans"/>
        </w:rPr>
        <w:t>二</w:t>
      </w:r>
      <w:r>
        <w:rPr>
          <w:rFonts w:hint="default" w:ascii="宋体" w:hAnsi="宋体"/>
          <w:sz w:val="24"/>
          <w:szCs w:val="24"/>
          <w:lang w:eastAsia="zh-Hans"/>
        </w:rPr>
        <w:t>）</w:t>
      </w:r>
      <w:r>
        <w:rPr>
          <w:rFonts w:hint="eastAsia" w:ascii="宋体" w:hAnsi="宋体"/>
          <w:sz w:val="24"/>
          <w:szCs w:val="24"/>
          <w:lang w:val="en-US" w:eastAsia="zh-Hans"/>
        </w:rPr>
        <w:t>长三角地区外贸发展现状</w:t>
      </w:r>
    </w:p>
    <w:p>
      <w:pPr>
        <w:snapToGrid w:val="0"/>
        <w:spacing w:line="360" w:lineRule="auto"/>
        <w:ind w:firstLine="540" w:firstLineChars="225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江苏省所处</w:t>
      </w:r>
      <w:r>
        <w:rPr>
          <w:rFonts w:hint="eastAsia" w:ascii="宋体" w:hAnsi="宋体"/>
          <w:sz w:val="24"/>
          <w:szCs w:val="24"/>
          <w:lang w:val="en-US" w:eastAsia="zh-Hans"/>
        </w:rPr>
        <w:t>“</w:t>
      </w:r>
      <w:r>
        <w:rPr>
          <w:rFonts w:hint="eastAsia" w:ascii="宋体" w:hAnsi="宋体"/>
          <w:sz w:val="24"/>
          <w:szCs w:val="24"/>
        </w:rPr>
        <w:t>长三角”地区是我国对外贸易最发达的地区之一， 包括上海、南京、苏州、无锡、常州、杭州、宁波等15个城市，是我国第</w:t>
      </w:r>
      <w:r>
        <w:rPr>
          <w:rFonts w:hint="eastAsia" w:ascii="宋体" w:hAnsi="宋体"/>
          <w:sz w:val="24"/>
          <w:szCs w:val="24"/>
          <w:lang w:val="en-US" w:eastAsia="zh-Hans"/>
        </w:rPr>
        <w:t>一</w:t>
      </w:r>
      <w:r>
        <w:rPr>
          <w:rFonts w:hint="eastAsia" w:ascii="宋体" w:hAnsi="宋体"/>
          <w:sz w:val="24"/>
          <w:szCs w:val="24"/>
        </w:rPr>
        <w:t>大经济区，也是我国综合实力最强的经济中心。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2022年，长三角三省一市进出口总值为15.07万亿元，再创历史新高，比2021年增长6.9%，占全国进出口总值比重为35.8%。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浙江省对东盟、中东、拉美、非洲进出口分别增长19.6%、39.3%、14.4%和21.2%，均保持两位数增长，合计拉动全省外贸增长9.1个百分点。上海市对东盟进出口5660.1亿元，增长5.2%，东盟稳居上海市第二大贸易伙伴。</w:t>
      </w:r>
    </w:p>
    <w:p>
      <w:pPr>
        <w:snapToGrid w:val="0"/>
        <w:spacing w:line="360" w:lineRule="auto"/>
        <w:ind w:firstLine="540" w:firstLineChars="225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受新冠疫情影响</w:t>
      </w:r>
      <w:r>
        <w:rPr>
          <w:rFonts w:hint="default" w:ascii="宋体" w:hAnsi="宋体"/>
          <w:sz w:val="24"/>
          <w:szCs w:val="24"/>
          <w:lang w:eastAsia="zh-Hans"/>
        </w:rPr>
        <w:t>，2020</w:t>
      </w:r>
      <w:r>
        <w:rPr>
          <w:rFonts w:hint="eastAsia" w:ascii="宋体" w:hAnsi="宋体"/>
          <w:sz w:val="24"/>
          <w:szCs w:val="24"/>
          <w:lang w:val="en-US" w:eastAsia="zh-Hans"/>
        </w:rPr>
        <w:t>年以来</w:t>
      </w:r>
      <w:r>
        <w:rPr>
          <w:rFonts w:hint="eastAsia" w:ascii="宋体" w:hAnsi="宋体"/>
          <w:sz w:val="24"/>
          <w:szCs w:val="24"/>
        </w:rPr>
        <w:t>长三角</w:t>
      </w:r>
      <w:r>
        <w:rPr>
          <w:rFonts w:hint="eastAsia" w:ascii="宋体" w:hAnsi="宋体"/>
          <w:sz w:val="24"/>
          <w:szCs w:val="24"/>
          <w:lang w:val="en-US" w:eastAsia="zh-Hans"/>
        </w:rPr>
        <w:t>外贸低迷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</w:rPr>
        <w:t>各地政府纷纷组团“出海”抢订单。</w:t>
      </w:r>
      <w:r>
        <w:rPr>
          <w:rFonts w:hint="eastAsia" w:ascii="宋体" w:hAnsi="宋体"/>
          <w:sz w:val="24"/>
          <w:szCs w:val="24"/>
          <w:lang w:val="en-US" w:eastAsia="zh-Hans"/>
        </w:rPr>
        <w:t>江苏省各地市于</w:t>
      </w:r>
      <w:r>
        <w:rPr>
          <w:rFonts w:hint="default" w:ascii="宋体" w:hAnsi="宋体"/>
          <w:sz w:val="24"/>
          <w:szCs w:val="24"/>
          <w:lang w:eastAsia="zh-Hans"/>
        </w:rPr>
        <w:t>2022</w:t>
      </w:r>
      <w:r>
        <w:rPr>
          <w:rFonts w:hint="eastAsia" w:ascii="宋体" w:hAnsi="宋体"/>
          <w:sz w:val="24"/>
          <w:szCs w:val="24"/>
          <w:lang w:val="en-US" w:eastAsia="zh-Hans"/>
        </w:rPr>
        <w:t>年</w:t>
      </w:r>
      <w:r>
        <w:rPr>
          <w:rFonts w:hint="default" w:ascii="宋体" w:hAnsi="宋体"/>
          <w:sz w:val="24"/>
          <w:szCs w:val="24"/>
          <w:lang w:eastAsia="zh-Hans"/>
        </w:rPr>
        <w:t>9</w:t>
      </w:r>
      <w:r>
        <w:rPr>
          <w:rFonts w:hint="eastAsia" w:ascii="宋体" w:hAnsi="宋体"/>
          <w:sz w:val="24"/>
          <w:szCs w:val="24"/>
          <w:lang w:val="en-US" w:eastAsia="zh-Hans"/>
        </w:rPr>
        <w:t>月就开始陆续包机出海洽商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截至</w:t>
      </w:r>
      <w:r>
        <w:rPr>
          <w:rFonts w:hint="default" w:ascii="宋体" w:hAnsi="宋体"/>
          <w:sz w:val="24"/>
          <w:szCs w:val="24"/>
          <w:lang w:eastAsia="zh-Hans"/>
        </w:rPr>
        <w:t>2022</w:t>
      </w:r>
      <w:r>
        <w:rPr>
          <w:rFonts w:hint="eastAsia" w:ascii="宋体" w:hAnsi="宋体"/>
          <w:sz w:val="24"/>
          <w:szCs w:val="24"/>
          <w:lang w:val="en-US" w:eastAsia="zh-Hans"/>
        </w:rPr>
        <w:t>年底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仅南京一市就有约270家外贸企业商务团组出境开展经贸洽谈，累计签约和达成意向订单金额20多亿元人民币。</w:t>
      </w:r>
      <w:r>
        <w:rPr>
          <w:rFonts w:hint="default" w:ascii="宋体" w:hAnsi="宋体"/>
          <w:sz w:val="24"/>
          <w:szCs w:val="24"/>
          <w:lang w:eastAsia="zh-Hans"/>
        </w:rPr>
        <w:t>2023</w:t>
      </w:r>
      <w:r>
        <w:rPr>
          <w:rFonts w:hint="eastAsia" w:ascii="宋体" w:hAnsi="宋体"/>
          <w:sz w:val="24"/>
          <w:szCs w:val="24"/>
          <w:lang w:val="en-US" w:eastAsia="zh-Hans"/>
        </w:rPr>
        <w:t>年</w:t>
      </w:r>
      <w:r>
        <w:rPr>
          <w:rFonts w:hint="default" w:ascii="宋体" w:hAnsi="宋体"/>
          <w:sz w:val="24"/>
          <w:szCs w:val="24"/>
          <w:lang w:eastAsia="zh-Hans"/>
        </w:rPr>
        <w:t>1</w:t>
      </w:r>
      <w:r>
        <w:rPr>
          <w:rFonts w:hint="eastAsia" w:ascii="宋体" w:hAnsi="宋体"/>
          <w:sz w:val="24"/>
          <w:szCs w:val="24"/>
          <w:lang w:val="en-US" w:eastAsia="zh-Hans"/>
        </w:rPr>
        <w:t>月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</w:rPr>
        <w:t>浙江</w:t>
      </w:r>
      <w:r>
        <w:rPr>
          <w:rFonts w:hint="eastAsia" w:ascii="宋体" w:hAnsi="宋体"/>
          <w:sz w:val="24"/>
          <w:szCs w:val="24"/>
          <w:lang w:val="en-US" w:eastAsia="zh-Hans"/>
        </w:rPr>
        <w:t>也</w:t>
      </w:r>
      <w:r>
        <w:rPr>
          <w:rFonts w:hint="eastAsia" w:ascii="宋体" w:hAnsi="宋体"/>
          <w:sz w:val="24"/>
          <w:szCs w:val="24"/>
        </w:rPr>
        <w:t>启动“千团万企拓市场抢订单行动”，总成交额（含意向）达1.52亿美元，实际成交额突破3200万美元。安徽“徽动全球”万企百团出海行动启动10天，成功签约订单金额22.4亿元。</w:t>
      </w:r>
    </w:p>
    <w:p>
      <w:pPr>
        <w:snapToGrid w:val="0"/>
        <w:spacing w:line="360" w:lineRule="auto"/>
        <w:ind w:firstLine="540" w:firstLineChars="225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长三角地区</w:t>
      </w:r>
      <w:r>
        <w:rPr>
          <w:rFonts w:hint="eastAsia" w:ascii="宋体" w:hAnsi="宋体"/>
          <w:sz w:val="24"/>
          <w:szCs w:val="24"/>
        </w:rPr>
        <w:t>出口产品在国际的国际竞争力不断提高</w:t>
      </w:r>
      <w:r>
        <w:rPr>
          <w:rFonts w:hint="default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智能物流</w:t>
      </w:r>
      <w:r>
        <w:rPr>
          <w:rFonts w:hint="eastAsia" w:ascii="宋体" w:hAnsi="宋体"/>
          <w:sz w:val="24"/>
          <w:szCs w:val="24"/>
          <w:lang w:val="en-US" w:eastAsia="zh-Hans"/>
        </w:rPr>
        <w:t>骨干网建设</w:t>
      </w:r>
      <w:r>
        <w:rPr>
          <w:rFonts w:hint="default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智能航运</w:t>
      </w:r>
      <w:r>
        <w:rPr>
          <w:rFonts w:hint="eastAsia" w:ascii="宋体" w:hAnsi="宋体"/>
          <w:sz w:val="24"/>
          <w:szCs w:val="24"/>
          <w:lang w:val="en-US" w:eastAsia="zh-Hans"/>
        </w:rPr>
        <w:t>建设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通关一体化的实施等使</w:t>
      </w:r>
      <w:r>
        <w:rPr>
          <w:rFonts w:hint="eastAsia" w:ascii="宋体" w:hAnsi="宋体"/>
          <w:sz w:val="24"/>
          <w:szCs w:val="24"/>
        </w:rPr>
        <w:t>长三角地区成为</w:t>
      </w:r>
      <w:r>
        <w:rPr>
          <w:rFonts w:hint="eastAsia" w:ascii="宋体" w:hAnsi="宋体"/>
          <w:sz w:val="24"/>
          <w:szCs w:val="24"/>
          <w:lang w:val="en-US" w:eastAsia="zh-Hans"/>
        </w:rPr>
        <w:t>重要的经济一体化区域</w:t>
      </w:r>
      <w:r>
        <w:rPr>
          <w:rFonts w:hint="eastAsia" w:ascii="宋体" w:hAnsi="宋体"/>
          <w:sz w:val="24"/>
          <w:szCs w:val="24"/>
          <w:lang w:val="en-US" w:eastAsia="zh-CN"/>
        </w:rPr>
        <w:t>。</w:t>
      </w:r>
    </w:p>
    <w:p>
      <w:pPr>
        <w:snapToGrid w:val="0"/>
        <w:spacing w:line="360" w:lineRule="auto"/>
        <w:ind w:firstLine="540" w:firstLineChars="225"/>
        <w:rPr>
          <w:rFonts w:hint="eastAsia" w:ascii="宋体" w:hAnsi="宋体"/>
          <w:sz w:val="24"/>
          <w:szCs w:val="24"/>
          <w:lang w:eastAsia="zh-Han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2022年是长三角一体化上升为国家战略的第四年。</w:t>
      </w:r>
      <w:r>
        <w:rPr>
          <w:rFonts w:hint="eastAsia" w:ascii="宋体" w:hAnsi="宋体"/>
          <w:sz w:val="24"/>
          <w:szCs w:val="24"/>
          <w:lang w:val="en-US" w:eastAsia="zh-Hans"/>
        </w:rPr>
        <w:t>三省一市</w:t>
      </w:r>
      <w:r>
        <w:rPr>
          <w:rFonts w:hint="eastAsia" w:ascii="宋体" w:hAnsi="宋体"/>
          <w:sz w:val="24"/>
          <w:szCs w:val="24"/>
          <w:lang w:val="en-US" w:eastAsia="zh-CN"/>
        </w:rPr>
        <w:t>以4%的国土面积创造了全国1/4的经济总量，长三角是我国经济发展最活跃、开放程度最高、创新能力最强的区域之一。在此背景下，外贸、货代</w:t>
      </w:r>
      <w:r>
        <w:rPr>
          <w:rFonts w:hint="eastAsia" w:ascii="宋体" w:hAnsi="宋体"/>
          <w:sz w:val="24"/>
          <w:szCs w:val="24"/>
          <w:lang w:val="en-US" w:eastAsia="zh-Hans"/>
        </w:rPr>
        <w:t>及相关</w:t>
      </w:r>
      <w:r>
        <w:rPr>
          <w:rFonts w:hint="eastAsia" w:ascii="宋体" w:hAnsi="宋体"/>
          <w:sz w:val="24"/>
          <w:szCs w:val="24"/>
          <w:lang w:val="en-US" w:eastAsia="zh-CN"/>
        </w:rPr>
        <w:t>行业必将迎来新的机遇，</w:t>
      </w:r>
      <w:r>
        <w:rPr>
          <w:rFonts w:hint="eastAsia" w:ascii="宋体" w:hAnsi="宋体"/>
          <w:sz w:val="24"/>
          <w:szCs w:val="24"/>
        </w:rPr>
        <w:t>发展前景</w:t>
      </w:r>
      <w:r>
        <w:rPr>
          <w:rFonts w:hint="eastAsia" w:ascii="宋体" w:hAnsi="宋体"/>
          <w:sz w:val="24"/>
          <w:szCs w:val="24"/>
          <w:lang w:val="en-US" w:eastAsia="zh-Hans"/>
        </w:rPr>
        <w:t>广阔</w:t>
      </w:r>
      <w:r>
        <w:rPr>
          <w:rFonts w:hint="default" w:ascii="宋体" w:hAnsi="宋体"/>
          <w:sz w:val="24"/>
          <w:szCs w:val="24"/>
          <w:lang w:eastAsia="zh-Hans"/>
        </w:rPr>
        <w:t>。</w:t>
      </w:r>
    </w:p>
    <w:p>
      <w:pPr>
        <w:snapToGrid w:val="0"/>
        <w:spacing w:line="360" w:lineRule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二、</w:t>
      </w:r>
      <w:r>
        <w:rPr>
          <w:rFonts w:hint="eastAsia" w:ascii="宋体" w:hAnsi="宋体"/>
          <w:b/>
          <w:sz w:val="24"/>
          <w:szCs w:val="24"/>
          <w:lang w:val="en-US" w:eastAsia="zh-Hans"/>
        </w:rPr>
        <w:t>关务与外贸人才</w:t>
      </w:r>
      <w:r>
        <w:rPr>
          <w:rFonts w:ascii="宋体" w:hAnsi="宋体" w:cs="宋体"/>
          <w:b/>
          <w:kern w:val="0"/>
          <w:sz w:val="24"/>
          <w:szCs w:val="24"/>
        </w:rPr>
        <w:t>需求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Hans"/>
        </w:rPr>
        <w:t>调研与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分析</w:t>
      </w:r>
    </w:p>
    <w:p>
      <w:pPr>
        <w:snapToGrid w:val="0"/>
        <w:spacing w:line="360" w:lineRule="auto"/>
        <w:ind w:firstLine="472" w:firstLineChars="225"/>
        <w:rPr>
          <w:rFonts w:hint="eastAsia" w:ascii="宋体" w:hAnsi="宋体"/>
          <w:sz w:val="24"/>
          <w:szCs w:val="24"/>
          <w:lang w:val="en-US" w:eastAsia="zh-Hans"/>
        </w:rPr>
      </w:pPr>
      <w:r>
        <w:rPr>
          <w:rFonts w:hint="default"/>
        </w:rPr>
        <w:t>（</w:t>
      </w:r>
      <w:r>
        <w:rPr>
          <w:rFonts w:hint="eastAsia"/>
          <w:lang w:val="en-US" w:eastAsia="zh-Hans"/>
        </w:rPr>
        <w:t>一</w:t>
      </w:r>
      <w:r>
        <w:rPr>
          <w:rFonts w:hint="default"/>
          <w:lang w:eastAsia="zh-Hans"/>
        </w:rPr>
        <w:t>）</w:t>
      </w:r>
      <w:r>
        <w:rPr>
          <w:rFonts w:hint="eastAsia" w:ascii="宋体" w:hAnsi="宋体"/>
          <w:sz w:val="24"/>
          <w:szCs w:val="24"/>
          <w:lang w:val="en-US" w:eastAsia="zh-Hans"/>
        </w:rPr>
        <w:t>长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Hans"/>
        </w:rPr>
        <w:t>三角地区关务与</w:t>
      </w:r>
      <w:r>
        <w:rPr>
          <w:rFonts w:hint="eastAsia" w:ascii="宋体" w:hAnsi="宋体"/>
          <w:sz w:val="24"/>
          <w:szCs w:val="24"/>
          <w:lang w:val="en-US" w:eastAsia="zh-Hans"/>
        </w:rPr>
        <w:t>外贸大专人才需求调研</w:t>
      </w:r>
    </w:p>
    <w:p>
      <w:pPr>
        <w:snapToGrid w:val="0"/>
        <w:spacing w:line="360" w:lineRule="auto"/>
        <w:ind w:firstLine="540" w:firstLineChars="225"/>
        <w:rPr>
          <w:rFonts w:hint="eastAsia" w:ascii="宋体" w:hAnsi="宋体"/>
          <w:sz w:val="24"/>
          <w:szCs w:val="24"/>
          <w:lang w:val="en-US" w:eastAsia="zh-Hans"/>
        </w:rPr>
      </w:pPr>
      <w:r>
        <w:rPr>
          <w:rFonts w:hint="default" w:ascii="宋体" w:hAnsi="宋体"/>
          <w:sz w:val="24"/>
          <w:szCs w:val="24"/>
          <w:lang w:eastAsia="zh-Hans"/>
        </w:rPr>
        <w:t>1.</w:t>
      </w:r>
      <w:r>
        <w:rPr>
          <w:rFonts w:hint="eastAsia" w:ascii="宋体" w:hAnsi="宋体"/>
          <w:sz w:val="24"/>
          <w:szCs w:val="24"/>
          <w:lang w:val="en-US" w:eastAsia="zh-Hans"/>
        </w:rPr>
        <w:t>调研目标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eastAsia="zh-Hans"/>
        </w:rPr>
      </w:pPr>
      <w:r>
        <w:rPr>
          <w:rFonts w:hint="default" w:ascii="宋体" w:hAnsi="宋体"/>
          <w:sz w:val="24"/>
          <w:szCs w:val="24"/>
          <w:lang w:eastAsia="zh-Hans"/>
        </w:rPr>
        <w:t>为使</w:t>
      </w:r>
      <w:r>
        <w:rPr>
          <w:rFonts w:hint="eastAsia" w:ascii="宋体" w:hAnsi="宋体"/>
          <w:sz w:val="24"/>
          <w:szCs w:val="24"/>
          <w:lang w:val="en-US" w:eastAsia="zh-Hans"/>
        </w:rPr>
        <w:t>关务与外贸专业</w:t>
      </w:r>
      <w:r>
        <w:rPr>
          <w:rFonts w:hint="default" w:ascii="宋体" w:hAnsi="宋体"/>
          <w:sz w:val="24"/>
          <w:szCs w:val="24"/>
          <w:lang w:eastAsia="zh-Hans"/>
        </w:rPr>
        <w:t>人才培养的目标和规格</w:t>
      </w:r>
      <w:r>
        <w:rPr>
          <w:rFonts w:hint="eastAsia" w:ascii="宋体" w:hAnsi="宋体"/>
          <w:sz w:val="24"/>
          <w:szCs w:val="24"/>
          <w:lang w:val="en-US" w:eastAsia="zh-Hans"/>
        </w:rPr>
        <w:t>更具有</w:t>
      </w:r>
      <w:r>
        <w:rPr>
          <w:rFonts w:hint="default" w:ascii="宋体" w:hAnsi="宋体"/>
          <w:sz w:val="24"/>
          <w:szCs w:val="24"/>
          <w:lang w:eastAsia="zh-Hans"/>
        </w:rPr>
        <w:t>实践性和先进性，缩小与用人单位需求的距离，</w:t>
      </w:r>
      <w:r>
        <w:rPr>
          <w:rFonts w:hint="eastAsia" w:ascii="宋体" w:hAnsi="宋体"/>
          <w:sz w:val="24"/>
          <w:szCs w:val="24"/>
          <w:lang w:val="en-US" w:eastAsia="zh-Hans"/>
        </w:rPr>
        <w:t>本次调研</w:t>
      </w:r>
      <w:r>
        <w:rPr>
          <w:rFonts w:hint="default" w:ascii="宋体" w:hAnsi="宋体"/>
          <w:sz w:val="24"/>
          <w:szCs w:val="24"/>
          <w:lang w:eastAsia="zh-Hans"/>
        </w:rPr>
        <w:t>从了解本专业对应的职业岗位的人才需求状况入手，及时跟踪人才市场需求及岗位要求的变化，研究分析高职院校</w:t>
      </w:r>
      <w:r>
        <w:rPr>
          <w:rFonts w:hint="eastAsia" w:ascii="宋体" w:hAnsi="宋体"/>
          <w:sz w:val="24"/>
          <w:szCs w:val="24"/>
          <w:lang w:val="en-US" w:eastAsia="zh-Hans"/>
        </w:rPr>
        <w:t>关务与外贸专业</w:t>
      </w:r>
      <w:r>
        <w:rPr>
          <w:rFonts w:hint="default" w:ascii="宋体" w:hAnsi="宋体"/>
          <w:sz w:val="24"/>
          <w:szCs w:val="24"/>
          <w:lang w:eastAsia="zh-Hans"/>
        </w:rPr>
        <w:t>人才培养的规格、能力与素质结构，确定专业培养目标、优化课程体系和教学内容、教学模式，实现主动适应区域、行业经济和社会发展的需要。</w:t>
      </w:r>
    </w:p>
    <w:p>
      <w:pPr>
        <w:snapToGrid w:val="0"/>
        <w:spacing w:line="360" w:lineRule="auto"/>
        <w:ind w:firstLine="540" w:firstLineChars="225"/>
        <w:rPr>
          <w:rFonts w:hint="eastAsia" w:ascii="宋体" w:hAnsi="宋体"/>
          <w:sz w:val="24"/>
          <w:szCs w:val="24"/>
          <w:lang w:val="en-US" w:eastAsia="zh-Hans"/>
        </w:rPr>
      </w:pPr>
      <w:r>
        <w:rPr>
          <w:rFonts w:hint="default" w:ascii="宋体" w:hAnsi="宋体"/>
          <w:sz w:val="24"/>
          <w:szCs w:val="24"/>
          <w:lang w:eastAsia="zh-Hans"/>
        </w:rPr>
        <w:t>2.</w:t>
      </w:r>
      <w:r>
        <w:rPr>
          <w:rFonts w:hint="eastAsia" w:ascii="宋体" w:hAnsi="宋体"/>
          <w:sz w:val="24"/>
          <w:szCs w:val="24"/>
          <w:lang w:val="en-US" w:eastAsia="zh-Hans"/>
        </w:rPr>
        <w:t>调研对象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eastAsia="zh-Hans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此次调研对象为长三角地区的进出口企业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跨境电商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报关公司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关务服务企业等与本专业相关性较大的企业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主要面向关务专员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单证员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外贸业务员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货代业务员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跨境电商业务员等岗位需求进行调研</w:t>
      </w:r>
      <w:r>
        <w:rPr>
          <w:rFonts w:hint="default" w:ascii="宋体" w:hAnsi="宋体"/>
          <w:sz w:val="24"/>
          <w:szCs w:val="24"/>
          <w:lang w:eastAsia="zh-Hans"/>
        </w:rPr>
        <w:t>。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val="en-US" w:eastAsia="zh-Hans"/>
        </w:rPr>
      </w:pPr>
      <w:r>
        <w:rPr>
          <w:rFonts w:hint="default" w:ascii="宋体" w:hAnsi="宋体"/>
          <w:sz w:val="24"/>
          <w:szCs w:val="24"/>
          <w:lang w:eastAsia="zh-Hans"/>
        </w:rPr>
        <w:t>3.</w:t>
      </w:r>
      <w:r>
        <w:rPr>
          <w:rFonts w:hint="eastAsia" w:ascii="宋体" w:hAnsi="宋体"/>
          <w:sz w:val="24"/>
          <w:szCs w:val="24"/>
          <w:lang w:val="en-US" w:eastAsia="zh-Hans"/>
        </w:rPr>
        <w:t>调研方法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eastAsia="zh-Hans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采用网络调研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电话调研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现场交流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问卷调查等方法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既注重资料数据的覆盖面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又注重抓取重点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尽力做到真实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可靠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具有现实意义和参考价值</w:t>
      </w:r>
      <w:r>
        <w:rPr>
          <w:rFonts w:hint="default" w:ascii="宋体" w:hAnsi="宋体"/>
          <w:sz w:val="24"/>
          <w:szCs w:val="24"/>
          <w:lang w:eastAsia="zh-Hans"/>
        </w:rPr>
        <w:t>。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eastAsia="zh-Hans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调研企业包括</w:t>
      </w:r>
      <w:r>
        <w:rPr>
          <w:rFonts w:hint="default" w:ascii="宋体" w:hAnsi="宋体"/>
          <w:sz w:val="24"/>
          <w:szCs w:val="24"/>
          <w:lang w:eastAsia="zh-Hans"/>
        </w:rPr>
        <w:t>：</w:t>
      </w:r>
      <w:r>
        <w:rPr>
          <w:rFonts w:hint="eastAsia" w:ascii="宋体" w:hAnsi="宋体"/>
          <w:sz w:val="24"/>
          <w:szCs w:val="24"/>
          <w:lang w:val="en-US" w:eastAsia="zh-Hans"/>
        </w:rPr>
        <w:t>江苏永之景国际货运有限公司</w:t>
      </w:r>
      <w:r>
        <w:rPr>
          <w:rFonts w:hint="default" w:ascii="宋体" w:hAnsi="宋体"/>
          <w:sz w:val="24"/>
          <w:szCs w:val="24"/>
          <w:lang w:eastAsia="zh-Hans"/>
        </w:rPr>
        <w:t>、江苏探路者国际物流有限公司、DHL中外运敦豪、南京金梦蝶贴金制品有限公司、江苏中欧班列供应链有限公司、江苏天禄国际货运代理有限公司、江苏能运国际物流有限公司</w:t>
      </w:r>
      <w:r>
        <w:rPr>
          <w:rFonts w:hint="eastAsia" w:ascii="宋体" w:hAnsi="宋体"/>
          <w:sz w:val="24"/>
          <w:szCs w:val="24"/>
          <w:lang w:val="en-US" w:eastAsia="zh-Hans"/>
        </w:rPr>
        <w:t>等</w:t>
      </w:r>
      <w:r>
        <w:rPr>
          <w:rFonts w:hint="default" w:ascii="宋体" w:hAnsi="宋体"/>
          <w:sz w:val="24"/>
          <w:szCs w:val="24"/>
          <w:lang w:eastAsia="zh-Hans"/>
        </w:rPr>
        <w:t>。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eastAsia="zh-Hans"/>
        </w:rPr>
      </w:pPr>
      <w:r>
        <w:rPr>
          <w:rFonts w:hint="default" w:ascii="宋体" w:hAnsi="宋体"/>
          <w:sz w:val="24"/>
          <w:szCs w:val="24"/>
          <w:lang w:eastAsia="zh-Hans"/>
        </w:rPr>
        <w:t xml:space="preserve">4.调研内容 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val="en-US" w:eastAsia="zh-Hans"/>
        </w:rPr>
      </w:pPr>
      <w:r>
        <w:rPr>
          <w:rFonts w:hint="default" w:ascii="宋体" w:hAnsi="宋体"/>
          <w:b w:val="0"/>
          <w:bCs w:val="0"/>
          <w:sz w:val="24"/>
          <w:szCs w:val="24"/>
          <w:lang w:eastAsia="zh-Hans"/>
        </w:rPr>
        <w:t>(1)</w:t>
      </w:r>
      <w:r>
        <w:rPr>
          <w:rFonts w:hint="default" w:ascii="宋体" w:hAnsi="宋体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Hans"/>
        </w:rPr>
        <w:t>长三角地区外贸</w:t>
      </w:r>
      <w:r>
        <w:rPr>
          <w:rFonts w:hint="default" w:ascii="宋体" w:hAnsi="宋体"/>
          <w:sz w:val="24"/>
          <w:szCs w:val="24"/>
          <w:lang w:val="en-US" w:eastAsia="zh-Hans"/>
        </w:rPr>
        <w:t>行业的发展</w:t>
      </w:r>
      <w:r>
        <w:rPr>
          <w:rFonts w:hint="eastAsia" w:ascii="宋体" w:hAnsi="宋体"/>
          <w:sz w:val="24"/>
          <w:szCs w:val="24"/>
          <w:lang w:val="en-US" w:eastAsia="zh-Hans"/>
        </w:rPr>
        <w:t>现状</w:t>
      </w:r>
      <w:r>
        <w:rPr>
          <w:rFonts w:hint="default" w:ascii="宋体" w:hAnsi="宋体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关务与外贸</w:t>
      </w:r>
      <w:r>
        <w:rPr>
          <w:rFonts w:hint="default" w:ascii="宋体" w:hAnsi="宋体"/>
          <w:sz w:val="24"/>
          <w:szCs w:val="24"/>
          <w:lang w:val="en-US" w:eastAsia="zh-Hans"/>
        </w:rPr>
        <w:t>人才需求</w:t>
      </w:r>
      <w:r>
        <w:rPr>
          <w:rFonts w:hint="eastAsia" w:ascii="宋体" w:hAnsi="宋体"/>
          <w:sz w:val="24"/>
          <w:szCs w:val="24"/>
          <w:lang w:val="en-US" w:eastAsia="zh-Hans"/>
        </w:rPr>
        <w:t>状</w:t>
      </w:r>
      <w:r>
        <w:rPr>
          <w:rFonts w:hint="default" w:ascii="宋体" w:hAnsi="宋体"/>
          <w:sz w:val="24"/>
          <w:szCs w:val="24"/>
          <w:lang w:val="en-US" w:eastAsia="zh-Hans"/>
        </w:rPr>
        <w:t xml:space="preserve">况； 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val="en-US" w:eastAsia="zh-Hans"/>
        </w:rPr>
      </w:pPr>
      <w:r>
        <w:rPr>
          <w:rFonts w:hint="default" w:ascii="宋体" w:hAnsi="宋体"/>
          <w:sz w:val="24"/>
          <w:szCs w:val="24"/>
          <w:lang w:val="en-US" w:eastAsia="zh-Hans"/>
        </w:rPr>
        <w:t xml:space="preserve">(2) </w:t>
      </w:r>
      <w:r>
        <w:rPr>
          <w:rFonts w:hint="eastAsia" w:ascii="宋体" w:hAnsi="宋体"/>
          <w:sz w:val="24"/>
          <w:szCs w:val="24"/>
          <w:lang w:val="en-US" w:eastAsia="zh-Hans"/>
        </w:rPr>
        <w:t>相关</w:t>
      </w:r>
      <w:r>
        <w:rPr>
          <w:rFonts w:hint="default" w:ascii="宋体" w:hAnsi="宋体"/>
          <w:sz w:val="24"/>
          <w:szCs w:val="24"/>
          <w:lang w:val="en-US" w:eastAsia="zh-Hans"/>
        </w:rPr>
        <w:t>企业的主要就业岗位、典型岗位工作任务对学生核心技能的具体要求、所需的知识结构等。</w:t>
      </w:r>
    </w:p>
    <w:p>
      <w:pPr>
        <w:widowControl/>
        <w:shd w:val="clear" w:color="auto" w:fill="FFFFFF"/>
        <w:bidi w:val="0"/>
        <w:spacing w:line="360" w:lineRule="auto"/>
        <w:ind w:left="147" w:firstLine="300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default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Hans"/>
        </w:rPr>
        <w:t>二</w:t>
      </w:r>
      <w:r>
        <w:rPr>
          <w:rFonts w:hint="default"/>
          <w:sz w:val="24"/>
          <w:szCs w:val="24"/>
        </w:rPr>
        <w:t>）</w:t>
      </w:r>
      <w:r>
        <w:rPr>
          <w:rFonts w:hint="eastAsia"/>
          <w:sz w:val="24"/>
          <w:szCs w:val="24"/>
        </w:rPr>
        <w:t>调研分析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Hans"/>
        </w:rPr>
      </w:pPr>
      <w:r>
        <w:rPr>
          <w:rFonts w:hint="default" w:ascii="宋体" w:hAnsi="宋体"/>
          <w:sz w:val="24"/>
          <w:szCs w:val="24"/>
          <w:lang w:eastAsia="zh-Hans"/>
        </w:rPr>
        <w:t>1.</w:t>
      </w:r>
      <w:r>
        <w:rPr>
          <w:rFonts w:hint="eastAsia" w:ascii="宋体" w:hAnsi="宋体"/>
          <w:sz w:val="24"/>
          <w:szCs w:val="24"/>
          <w:lang w:val="en-US" w:eastAsia="zh-Hans"/>
        </w:rPr>
        <w:t>长三角地区外贸</w:t>
      </w:r>
      <w:r>
        <w:rPr>
          <w:rFonts w:hint="default" w:ascii="宋体" w:hAnsi="宋体"/>
          <w:sz w:val="24"/>
          <w:szCs w:val="24"/>
          <w:lang w:val="en-US" w:eastAsia="zh-Hans"/>
        </w:rPr>
        <w:t>行业的发展</w:t>
      </w:r>
      <w:r>
        <w:rPr>
          <w:rFonts w:hint="eastAsia" w:ascii="宋体" w:hAnsi="宋体"/>
          <w:sz w:val="24"/>
          <w:szCs w:val="24"/>
          <w:lang w:val="en-US" w:eastAsia="zh-Hans"/>
        </w:rPr>
        <w:t>现状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近年来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我国海关关务行业准入制度、通关作业无纸化、海关信用管理、通关一体化、申报制度、税收征管方式、关检业务全面融合、两步申报等方面进行了一系列的改革，给外贸企业关务专业化，管理制度化，服务个性、精细化及政策实时化提出了更高地挑战，外贸企业对关务人才需求巨大</w:t>
      </w:r>
      <w:r>
        <w:rPr>
          <w:rFonts w:hint="default" w:ascii="宋体" w:hAnsi="宋体"/>
          <w:sz w:val="24"/>
          <w:szCs w:val="24"/>
          <w:lang w:eastAsia="zh-CN"/>
        </w:rPr>
        <w:t>。据权威部门统计，目前已有38000多家相关企业五年内关务、货代岗位缺口在200万人左右，仅上海目前相关人才缺口达22000人。</w:t>
      </w:r>
    </w:p>
    <w:p>
      <w:pPr>
        <w:snapToGrid w:val="0"/>
        <w:spacing w:line="360" w:lineRule="auto"/>
        <w:ind w:firstLine="540" w:firstLineChars="225"/>
        <w:rPr>
          <w:rFonts w:hint="default"/>
          <w:lang w:eastAsia="zh-Hans"/>
        </w:rPr>
      </w:pPr>
      <w:r>
        <w:rPr>
          <w:rFonts w:hint="eastAsia" w:ascii="宋体" w:hAnsi="宋体"/>
          <w:sz w:val="24"/>
          <w:szCs w:val="24"/>
        </w:rPr>
        <w:t>长三角地区港口经济和对外贸易发展步伐</w:t>
      </w:r>
      <w:r>
        <w:rPr>
          <w:rFonts w:hint="eastAsia" w:ascii="宋体" w:hAnsi="宋体"/>
          <w:sz w:val="24"/>
          <w:szCs w:val="24"/>
          <w:lang w:val="en-US" w:eastAsia="zh-CN"/>
        </w:rPr>
        <w:t>的进一步</w:t>
      </w:r>
      <w:r>
        <w:rPr>
          <w:rFonts w:hint="eastAsia" w:ascii="宋体" w:hAnsi="宋体"/>
          <w:sz w:val="24"/>
          <w:szCs w:val="24"/>
        </w:rPr>
        <w:t>加快，</w:t>
      </w:r>
      <w:r>
        <w:rPr>
          <w:rFonts w:hint="eastAsia" w:ascii="宋体" w:hAnsi="宋体"/>
          <w:sz w:val="24"/>
          <w:szCs w:val="24"/>
          <w:lang w:val="en-US" w:eastAsia="zh-CN"/>
        </w:rPr>
        <w:t>使</w:t>
      </w:r>
      <w:r>
        <w:rPr>
          <w:rFonts w:hint="eastAsia" w:ascii="宋体" w:hAnsi="宋体"/>
          <w:sz w:val="24"/>
          <w:szCs w:val="24"/>
        </w:rPr>
        <w:t>服务于港口、服务于国际贸易的国际货代业</w:t>
      </w:r>
      <w:r>
        <w:rPr>
          <w:rFonts w:hint="eastAsia" w:ascii="宋体" w:hAnsi="宋体"/>
          <w:sz w:val="24"/>
          <w:szCs w:val="24"/>
          <w:lang w:val="en-US" w:eastAsia="zh-Hans"/>
        </w:rPr>
        <w:t>也</w:t>
      </w:r>
      <w:r>
        <w:rPr>
          <w:rFonts w:hint="eastAsia" w:ascii="宋体" w:hAnsi="宋体"/>
          <w:sz w:val="24"/>
          <w:szCs w:val="24"/>
        </w:rPr>
        <w:t>得到了迅速发展。目前,长三角地区80%的进出口贸易货物运输和中转业务，90%的国际航空货物运输业务都是通过国际货运代理企业完成的。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b w:val="0"/>
          <w:bCs w:val="0"/>
          <w:sz w:val="24"/>
          <w:szCs w:val="24"/>
          <w:lang w:val="en-US" w:eastAsia="zh-Hans"/>
        </w:rPr>
      </w:pPr>
      <w:r>
        <w:rPr>
          <w:rFonts w:hint="default" w:ascii="宋体" w:hAnsi="宋体"/>
          <w:sz w:val="24"/>
          <w:szCs w:val="24"/>
          <w:lang w:eastAsia="zh-Hans"/>
        </w:rPr>
        <w:t>2.</w:t>
      </w:r>
      <w:r>
        <w:rPr>
          <w:rFonts w:hint="eastAsia" w:ascii="宋体" w:hAnsi="宋体"/>
          <w:sz w:val="24"/>
          <w:szCs w:val="24"/>
          <w:lang w:val="en-US" w:eastAsia="zh-Hans"/>
        </w:rPr>
        <w:t>长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Hans"/>
        </w:rPr>
        <w:t>三角地区关务与外贸人才需求状况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eastAsia="zh-Hans"/>
        </w:rPr>
      </w:pPr>
      <w:r>
        <w:rPr>
          <w:rFonts w:hint="eastAsia" w:ascii="宋体" w:hAnsi="宋体"/>
          <w:sz w:val="24"/>
          <w:szCs w:val="24"/>
        </w:rPr>
        <w:t>长三角地区对报关、海运、港口贸易方面的人才需求</w:t>
      </w:r>
      <w:r>
        <w:rPr>
          <w:rFonts w:hint="eastAsia" w:ascii="宋体" w:hAnsi="宋体"/>
          <w:sz w:val="24"/>
          <w:szCs w:val="24"/>
          <w:lang w:val="en-US" w:eastAsia="zh-CN"/>
        </w:rPr>
        <w:t>不断增长</w:t>
      </w:r>
      <w:r>
        <w:rPr>
          <w:rFonts w:hint="eastAsia" w:ascii="宋体" w:hAnsi="宋体"/>
          <w:sz w:val="24"/>
          <w:szCs w:val="24"/>
        </w:rPr>
        <w:t>，对从业人员的要求</w:t>
      </w:r>
      <w:r>
        <w:rPr>
          <w:rFonts w:hint="eastAsia" w:ascii="宋体" w:hAnsi="宋体"/>
          <w:sz w:val="24"/>
          <w:szCs w:val="24"/>
          <w:lang w:val="en-US" w:eastAsia="zh-CN"/>
        </w:rPr>
        <w:t>越来越</w:t>
      </w:r>
      <w:r>
        <w:rPr>
          <w:rFonts w:hint="eastAsia" w:ascii="宋体" w:hAnsi="宋体"/>
          <w:sz w:val="24"/>
          <w:szCs w:val="24"/>
        </w:rPr>
        <w:t>高。</w:t>
      </w:r>
      <w:r>
        <w:rPr>
          <w:rFonts w:hint="eastAsia" w:ascii="宋体" w:hAnsi="宋体"/>
          <w:sz w:val="24"/>
          <w:szCs w:val="24"/>
          <w:lang w:val="en-US" w:eastAsia="zh-Hans"/>
        </w:rPr>
        <w:t>江苏省作为我国最大的制造业省份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对外贸及相关行业的人才的需求数量不断增加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在人才质量上也发生了一定的结构性变化</w:t>
      </w:r>
      <w:r>
        <w:rPr>
          <w:rFonts w:hint="default" w:ascii="宋体" w:hAnsi="宋体"/>
          <w:sz w:val="24"/>
          <w:szCs w:val="24"/>
          <w:lang w:eastAsia="zh-Hans"/>
        </w:rPr>
        <w:t>。</w:t>
      </w:r>
    </w:p>
    <w:p>
      <w:pPr>
        <w:snapToGrid w:val="0"/>
        <w:spacing w:line="360" w:lineRule="auto"/>
        <w:ind w:firstLine="540" w:firstLineChars="225"/>
        <w:rPr>
          <w:rFonts w:hint="default" w:ascii="宋体" w:hAnsi="宋体"/>
          <w:sz w:val="24"/>
          <w:szCs w:val="24"/>
          <w:lang w:eastAsia="zh-Hans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根据天眼查数据测算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江苏省企业名称或经营范围中有</w:t>
      </w:r>
      <w:r>
        <w:rPr>
          <w:rFonts w:hint="default" w:ascii="宋体" w:hAnsi="宋体"/>
          <w:sz w:val="24"/>
          <w:szCs w:val="24"/>
          <w:lang w:val="en-US" w:eastAsia="zh-Hans"/>
        </w:rPr>
        <w:t>“外贸”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default" w:ascii="宋体" w:hAnsi="宋体"/>
          <w:sz w:val="24"/>
          <w:szCs w:val="24"/>
          <w:lang w:val="en-US" w:eastAsia="zh-Hans"/>
        </w:rPr>
        <w:t>“进出口”</w:t>
      </w:r>
      <w:r>
        <w:rPr>
          <w:rFonts w:hint="eastAsia" w:ascii="宋体" w:hAnsi="宋体"/>
          <w:sz w:val="24"/>
          <w:szCs w:val="24"/>
          <w:lang w:val="en-US" w:eastAsia="zh-Hans"/>
        </w:rPr>
        <w:t>等字样的企业数量有</w:t>
      </w:r>
      <w:r>
        <w:rPr>
          <w:rFonts w:hint="default" w:ascii="宋体" w:hAnsi="宋体"/>
          <w:sz w:val="24"/>
          <w:szCs w:val="24"/>
          <w:lang w:eastAsia="zh-Hans"/>
        </w:rPr>
        <w:t>50</w:t>
      </w:r>
      <w:r>
        <w:rPr>
          <w:rFonts w:hint="eastAsia" w:ascii="宋体" w:hAnsi="宋体"/>
          <w:sz w:val="24"/>
          <w:szCs w:val="24"/>
          <w:lang w:val="en-US" w:eastAsia="zh-Hans"/>
        </w:rPr>
        <w:t>万家左右</w:t>
      </w:r>
      <w:r>
        <w:rPr>
          <w:rFonts w:hint="default" w:ascii="宋体" w:hAnsi="宋体"/>
          <w:sz w:val="24"/>
          <w:szCs w:val="24"/>
          <w:lang w:eastAsia="zh-Hans"/>
        </w:rPr>
        <w:t>。</w:t>
      </w:r>
      <w:r>
        <w:rPr>
          <w:rFonts w:hint="eastAsia" w:ascii="宋体" w:hAnsi="宋体"/>
          <w:sz w:val="24"/>
          <w:szCs w:val="24"/>
          <w:lang w:val="en-US" w:eastAsia="zh-Hans"/>
        </w:rPr>
        <w:t>其中</w:t>
      </w:r>
      <w:r>
        <w:rPr>
          <w:rFonts w:hint="default" w:ascii="宋体" w:hAnsi="宋体"/>
          <w:sz w:val="24"/>
          <w:szCs w:val="24"/>
          <w:lang w:eastAsia="zh-Hans"/>
        </w:rPr>
        <w:t>68%</w:t>
      </w:r>
      <w:r>
        <w:rPr>
          <w:rFonts w:hint="eastAsia" w:ascii="宋体" w:hAnsi="宋体"/>
          <w:sz w:val="24"/>
          <w:szCs w:val="24"/>
          <w:lang w:val="en-US" w:eastAsia="zh-Hans"/>
        </w:rPr>
        <w:t>为制造业</w:t>
      </w:r>
      <w:r>
        <w:rPr>
          <w:rFonts w:hint="default" w:ascii="宋体" w:hAnsi="宋体"/>
          <w:sz w:val="24"/>
          <w:szCs w:val="24"/>
          <w:lang w:eastAsia="zh-Hans"/>
        </w:rPr>
        <w:t>，30%</w:t>
      </w:r>
      <w:r>
        <w:rPr>
          <w:rFonts w:hint="eastAsia" w:ascii="宋体" w:hAnsi="宋体"/>
          <w:sz w:val="24"/>
          <w:szCs w:val="24"/>
          <w:lang w:val="en-US" w:eastAsia="zh-Hans"/>
        </w:rPr>
        <w:t>为批发零售业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其他行业占</w:t>
      </w:r>
      <w:r>
        <w:rPr>
          <w:rFonts w:hint="default" w:ascii="宋体" w:hAnsi="宋体"/>
          <w:sz w:val="24"/>
          <w:szCs w:val="24"/>
          <w:lang w:eastAsia="zh-Hans"/>
        </w:rPr>
        <w:t>2%</w:t>
      </w:r>
      <w:r>
        <w:rPr>
          <w:rFonts w:hint="eastAsia" w:ascii="宋体" w:hAnsi="宋体"/>
          <w:sz w:val="24"/>
          <w:szCs w:val="24"/>
          <w:lang w:val="en-US" w:eastAsia="zh-Hans"/>
        </w:rPr>
        <w:t>左右</w:t>
      </w:r>
      <w:r>
        <w:rPr>
          <w:rFonts w:hint="default" w:ascii="宋体" w:hAnsi="宋体"/>
          <w:sz w:val="24"/>
          <w:szCs w:val="24"/>
          <w:lang w:eastAsia="zh-Hans"/>
        </w:rPr>
        <w:t>。</w:t>
      </w:r>
    </w:p>
    <w:p>
      <w:pPr>
        <w:pStyle w:val="2"/>
        <w:jc w:val="center"/>
      </w:pPr>
      <w:r>
        <w:drawing>
          <wp:inline distT="0" distB="0" distL="114300" distR="114300">
            <wp:extent cx="3650615" cy="1987550"/>
            <wp:effectExtent l="6350" t="6350" r="26035" b="63500"/>
            <wp:docPr id="7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jc w:val="left"/>
        <w:rPr>
          <w:rFonts w:hint="default" w:ascii="宋体" w:hAnsi="宋体"/>
          <w:sz w:val="24"/>
          <w:szCs w:val="24"/>
          <w:lang w:eastAsia="zh-Hans"/>
        </w:rPr>
      </w:pPr>
      <w:r>
        <w:rPr>
          <w:rFonts w:hint="eastAsia" w:ascii="宋体" w:hAnsi="宋体"/>
          <w:sz w:val="24"/>
          <w:szCs w:val="24"/>
          <w:lang w:val="en-US" w:eastAsia="zh-Hans"/>
        </w:rPr>
        <w:t>在这些企业中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成立时间在1～5年之间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且注册资本</w:t>
      </w:r>
      <w:r>
        <w:rPr>
          <w:rFonts w:hint="eastAsia" w:ascii="宋体" w:hAnsi="宋体"/>
          <w:sz w:val="24"/>
          <w:szCs w:val="24"/>
          <w:lang w:val="en-US" w:eastAsia="zh-CN"/>
        </w:rPr>
        <w:t>1000</w:t>
      </w:r>
      <w:r>
        <w:rPr>
          <w:rFonts w:hint="eastAsia" w:ascii="宋体" w:hAnsi="宋体"/>
          <w:sz w:val="24"/>
          <w:szCs w:val="24"/>
          <w:lang w:val="en-US" w:eastAsia="zh-Hans"/>
        </w:rPr>
        <w:t>万</w:t>
      </w:r>
      <w:r>
        <w:rPr>
          <w:rFonts w:hint="eastAsia" w:ascii="宋体" w:hAnsi="宋体"/>
          <w:sz w:val="24"/>
          <w:szCs w:val="24"/>
          <w:lang w:val="en-US" w:eastAsia="zh-CN"/>
        </w:rPr>
        <w:t>元</w:t>
      </w:r>
      <w:r>
        <w:rPr>
          <w:rFonts w:hint="eastAsia" w:ascii="宋体" w:hAnsi="宋体"/>
          <w:sz w:val="24"/>
          <w:szCs w:val="24"/>
          <w:lang w:val="en-US" w:eastAsia="zh-Hans"/>
        </w:rPr>
        <w:t>以</w:t>
      </w:r>
      <w:r>
        <w:rPr>
          <w:rFonts w:hint="eastAsia" w:ascii="宋体" w:hAnsi="宋体"/>
          <w:sz w:val="24"/>
          <w:szCs w:val="24"/>
          <w:lang w:val="en-US" w:eastAsia="zh-CN"/>
        </w:rPr>
        <w:t>上</w:t>
      </w:r>
      <w:r>
        <w:rPr>
          <w:rFonts w:hint="eastAsia" w:ascii="宋体" w:hAnsi="宋体"/>
          <w:sz w:val="24"/>
          <w:szCs w:val="24"/>
          <w:lang w:val="en-US" w:eastAsia="zh-Hans"/>
        </w:rPr>
        <w:t>的制造业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批发零售业企业数量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江苏省有</w:t>
      </w:r>
      <w:r>
        <w:rPr>
          <w:rFonts w:hint="default" w:ascii="宋体" w:hAnsi="宋体"/>
          <w:sz w:val="24"/>
          <w:szCs w:val="24"/>
          <w:lang w:eastAsia="zh-Hans"/>
        </w:rPr>
        <w:t>7</w:t>
      </w:r>
      <w:r>
        <w:rPr>
          <w:rFonts w:hint="eastAsia" w:ascii="宋体" w:hAnsi="宋体"/>
          <w:sz w:val="24"/>
          <w:szCs w:val="24"/>
          <w:lang w:val="en-US" w:eastAsia="zh-Hans"/>
        </w:rPr>
        <w:t>万多家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在长三角地区占</w:t>
      </w:r>
      <w:r>
        <w:rPr>
          <w:rFonts w:hint="default" w:ascii="宋体" w:hAnsi="宋体"/>
          <w:sz w:val="24"/>
          <w:szCs w:val="24"/>
          <w:lang w:eastAsia="zh-Hans"/>
        </w:rPr>
        <w:t>37%。</w:t>
      </w:r>
    </w:p>
    <w:p>
      <w:pPr>
        <w:pStyle w:val="2"/>
        <w:ind w:firstLine="420" w:firstLineChars="200"/>
        <w:jc w:val="center"/>
      </w:pPr>
    </w:p>
    <w:p>
      <w:pPr>
        <w:pStyle w:val="2"/>
        <w:ind w:firstLine="420" w:firstLineChars="200"/>
        <w:jc w:val="both"/>
      </w:pPr>
      <w:r>
        <w:drawing>
          <wp:inline distT="0" distB="0" distL="114300" distR="114300">
            <wp:extent cx="4139565" cy="2283460"/>
            <wp:effectExtent l="6350" t="6350" r="19685" b="72390"/>
            <wp:docPr id="1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pStyle w:val="2"/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长三角地区跨境电商类企业不到2万家，报关、货代及关务等企业总计约4.5万家。</w:t>
      </w:r>
    </w:p>
    <w:p>
      <w:pPr>
        <w:pStyle w:val="2"/>
        <w:ind w:firstLine="420" w:firstLineChars="200"/>
        <w:jc w:val="both"/>
      </w:pPr>
      <w:r>
        <w:drawing>
          <wp:inline distT="0" distB="0" distL="114300" distR="114300">
            <wp:extent cx="4554220" cy="2774950"/>
            <wp:effectExtent l="0" t="0" r="5080" b="6350"/>
            <wp:docPr id="3" name="图表 2" descr="7b0a202020202263686172745265734964223a20223230343734353034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根据前程无忧网站发布的职位需求，长三角地区外贸类、货代类、物流类、跨境电商类相关职位对大专应届毕业生的需求呈现上升趋势。2023年5月份，</w:t>
      </w:r>
      <w:r>
        <w:rPr>
          <w:rFonts w:hint="eastAsia" w:ascii="宋体" w:hAnsi="宋体"/>
          <w:sz w:val="24"/>
          <w:szCs w:val="24"/>
          <w:lang w:val="en-US" w:eastAsia="zh-Hans"/>
        </w:rPr>
        <w:t>长三角</w:t>
      </w:r>
      <w:r>
        <w:rPr>
          <w:rFonts w:hint="eastAsia" w:ascii="宋体" w:hAnsi="宋体"/>
          <w:sz w:val="24"/>
          <w:szCs w:val="24"/>
          <w:lang w:val="en-US" w:eastAsia="zh-CN"/>
        </w:rPr>
        <w:t>地区</w:t>
      </w:r>
      <w:r>
        <w:rPr>
          <w:rFonts w:hint="eastAsia" w:ascii="宋体" w:hAnsi="宋体"/>
          <w:sz w:val="24"/>
          <w:szCs w:val="24"/>
          <w:lang w:val="en-US" w:eastAsia="zh-Hans"/>
        </w:rPr>
        <w:t>外贸单证员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跟单员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外贸助理等需求</w:t>
      </w:r>
      <w:r>
        <w:rPr>
          <w:rFonts w:hint="eastAsia" w:ascii="宋体" w:hAnsi="宋体"/>
          <w:sz w:val="24"/>
          <w:szCs w:val="24"/>
          <w:lang w:val="en-US" w:eastAsia="zh-CN"/>
        </w:rPr>
        <w:t>发布约</w:t>
      </w:r>
      <w:r>
        <w:rPr>
          <w:rFonts w:hint="default" w:ascii="宋体" w:hAnsi="宋体"/>
          <w:sz w:val="24"/>
          <w:szCs w:val="24"/>
          <w:lang w:eastAsia="zh-Hans"/>
        </w:rPr>
        <w:t>1000</w:t>
      </w:r>
      <w:r>
        <w:rPr>
          <w:rFonts w:hint="eastAsia" w:ascii="宋体" w:hAnsi="宋体"/>
          <w:sz w:val="24"/>
          <w:szCs w:val="24"/>
          <w:lang w:val="en-US" w:eastAsia="zh-Hans"/>
        </w:rPr>
        <w:t>个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  <w:lang w:val="en-US" w:eastAsia="zh-Hans"/>
        </w:rPr>
        <w:t>报关助理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报关员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订舱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关务助理</w:t>
      </w:r>
      <w:r>
        <w:rPr>
          <w:rFonts w:hint="eastAsia" w:ascii="宋体" w:hAnsi="宋体"/>
          <w:sz w:val="24"/>
          <w:szCs w:val="24"/>
          <w:lang w:val="en-US" w:eastAsia="zh-CN"/>
        </w:rPr>
        <w:t>等需求发布约300个；</w:t>
      </w:r>
      <w:r>
        <w:rPr>
          <w:rFonts w:hint="eastAsia" w:ascii="宋体" w:hAnsi="宋体"/>
          <w:sz w:val="24"/>
          <w:szCs w:val="24"/>
          <w:lang w:val="en-US" w:eastAsia="zh-Hans"/>
        </w:rPr>
        <w:t>跨境运营</w:t>
      </w:r>
      <w:r>
        <w:rPr>
          <w:rFonts w:hint="default" w:ascii="宋体" w:hAnsi="宋体"/>
          <w:sz w:val="24"/>
          <w:szCs w:val="24"/>
          <w:lang w:eastAsia="zh-Hans"/>
        </w:rPr>
        <w:t>，</w:t>
      </w:r>
      <w:r>
        <w:rPr>
          <w:rFonts w:hint="eastAsia" w:ascii="宋体" w:hAnsi="宋体"/>
          <w:sz w:val="24"/>
          <w:szCs w:val="24"/>
          <w:lang w:val="en-US" w:eastAsia="zh-Hans"/>
        </w:rPr>
        <w:t>如亚马逊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eBay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  <w:lang w:val="en-US" w:eastAsia="zh-Hans"/>
        </w:rPr>
        <w:t>速卖通等</w:t>
      </w:r>
      <w:r>
        <w:rPr>
          <w:rFonts w:hint="eastAsia" w:ascii="宋体" w:hAnsi="宋体"/>
          <w:sz w:val="24"/>
          <w:szCs w:val="24"/>
          <w:lang w:val="en-US" w:eastAsia="zh-CN"/>
        </w:rPr>
        <w:t>需求发布约220个。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3.</w:t>
      </w:r>
      <w:r>
        <w:rPr>
          <w:rFonts w:hint="eastAsia" w:ascii="宋体" w:hAnsi="宋体"/>
          <w:sz w:val="24"/>
          <w:szCs w:val="24"/>
          <w:lang w:eastAsia="zh-Hans"/>
        </w:rPr>
        <w:t>岗</w:t>
      </w:r>
      <w:r>
        <w:rPr>
          <w:rFonts w:hint="eastAsia" w:ascii="宋体" w:hAnsi="宋体"/>
          <w:sz w:val="24"/>
          <w:szCs w:val="24"/>
          <w:lang w:val="en-US" w:eastAsia="zh-Hans"/>
        </w:rPr>
        <w:t>位需求分析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汇总分析企业的招聘信息，可知：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外贸业务岗位主要针对跨国公司、贸易公司、有进出口业务的制造企业和批发零售企业；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外贸服务职位主要针对专业报关代理公司、国际货运代理公司、国际物流公司、国际航运公司；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跨境电商岗位主要针对跨境电商企业、国际贸易公司、有进出口业务的制造企业和批发零售企业；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货运代理职位主要针对国际物流公司、保税仓储公司、国际货运代理公司；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外贸跟单职位主要针对贸易公司、有进出口业务的制造企业、外贸服务公司、国际物流公司。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调研显示，八成以上专业相关企业的性质为有限责任公司，50人以下小微企业岗位少，但需求总量大；国有企业、外资企业等需求量大，但学历、英语等要求高；成立时间在1~5年的企业对实习生、应届毕业的大专生薪资待遇较成立5年以上的企业要好，要求更为宽松。</w:t>
      </w:r>
    </w:p>
    <w:p>
      <w:pPr>
        <w:snapToGrid w:val="0"/>
        <w:spacing w:line="360" w:lineRule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三、</w:t>
      </w:r>
      <w:r>
        <w:rPr>
          <w:rFonts w:hint="eastAsia" w:ascii="宋体" w:hAnsi="宋体"/>
          <w:b/>
          <w:sz w:val="24"/>
          <w:szCs w:val="24"/>
          <w:lang w:val="en-US" w:eastAsia="zh-Hans"/>
        </w:rPr>
        <w:t>关务与外贸人才</w:t>
      </w:r>
      <w:r>
        <w:rPr>
          <w:rFonts w:ascii="宋体" w:hAnsi="宋体" w:cs="宋体"/>
          <w:b/>
          <w:kern w:val="0"/>
          <w:sz w:val="24"/>
          <w:szCs w:val="24"/>
        </w:rPr>
        <w:t>需求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Hans"/>
        </w:rPr>
        <w:t>调研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结论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（一）企业岗位职责与岗位要求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关务与外贸服务专业面向外贸进出口企业，学生主要就业岗位有：外贸业务员、外贸单证员、货代业务员、货代操作员、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shd w:val="clear" w:color="auto" w:fill="FFFFFF"/>
          <w:lang w:bidi="ar"/>
        </w:rPr>
        <w:t>关务专员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shd w:val="clear" w:color="auto" w:fill="FFFFFF"/>
          <w:lang w:eastAsia="zh-CN" w:bidi="ar"/>
        </w:rPr>
        <w:t>、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shd w:val="clear" w:color="auto" w:fill="FFFFFF"/>
          <w:lang w:val="en-US" w:eastAsia="zh-CN" w:bidi="ar"/>
        </w:rPr>
        <w:t>跨境电商运营等，</w:t>
      </w:r>
      <w:r>
        <w:rPr>
          <w:rFonts w:hint="eastAsia" w:ascii="宋体" w:hAnsi="宋体"/>
          <w:sz w:val="24"/>
          <w:szCs w:val="24"/>
          <w:lang w:val="en-US" w:eastAsia="zh-CN"/>
        </w:rPr>
        <w:t>对专业人才的普遍要求有：</w:t>
      </w:r>
    </w:p>
    <w:p>
      <w:pPr>
        <w:numPr>
          <w:ilvl w:val="0"/>
          <w:numId w:val="2"/>
        </w:numPr>
        <w:snapToGrid w:val="0"/>
        <w:spacing w:line="360" w:lineRule="auto"/>
        <w:ind w:left="420" w:leftChars="0" w:firstLine="0" w:firstLineChars="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素质要求：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高度的工作责任心</w:t>
      </w: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良好的心理素质和职业道德、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较强的沟通能力</w:t>
      </w:r>
      <w:r>
        <w:rPr>
          <w:rFonts w:hint="eastAsia" w:ascii="宋体" w:hAnsi="宋体"/>
          <w:sz w:val="24"/>
          <w:szCs w:val="24"/>
          <w:lang w:val="en-US" w:eastAsia="zh-CN"/>
        </w:rPr>
        <w:t>、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协调能力与组织能力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诚实敬业</w:t>
      </w: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具有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团队精神</w:t>
      </w: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和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客户服务</w:t>
      </w: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意识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2"/>
        </w:numPr>
        <w:snapToGrid w:val="0"/>
        <w:spacing w:line="360" w:lineRule="auto"/>
        <w:ind w:left="420" w:leftChars="0" w:firstLine="0" w:firstLineChars="0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能力要求：较强的业务能力、较强的英语沟通能力、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熟练运用办公软件</w:t>
      </w: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更新知识的能力、</w:t>
      </w: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较强的社会活动能力；</w:t>
      </w:r>
    </w:p>
    <w:p>
      <w:pPr>
        <w:numPr>
          <w:ilvl w:val="0"/>
          <w:numId w:val="2"/>
        </w:numPr>
        <w:snapToGrid w:val="0"/>
        <w:spacing w:line="360" w:lineRule="auto"/>
        <w:ind w:left="420" w:leftChars="0" w:firstLine="0" w:firstLineChars="0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知识要求：国际贸易实务、外贸单证、货运代理、物流基础、跨境电商、英语、计算机等专业知识。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1.外贸业务员岗位职责和要求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岗位职责：负责市场开发、客户跟踪与函电沟通、参与商务谈判、跟进业务流程、售后服务跟踪及相应的技术支持。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岗位要求：熟悉贸易操作流程及相关法律法规，熟悉单证跟单操作流程，具备贸易领域专业知识、业务拓展能力和商务谈判技巧，英语听说读写熟练。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sz w:val="24"/>
          <w:szCs w:val="24"/>
          <w:lang w:val="en-US" w:eastAsia="zh-CN"/>
        </w:rPr>
        <w:t>外贸单证员岗位职责和要求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岗位职责：负责处理外贸单证、制作进出口报关单据及其他单据文件、订舱及提单确认、单证资料的整理归档、协调并及时处理出货过程中的突发情况。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岗位要求：熟悉进出口业务和国际结算知识、熟练掌握信用证操作、能熟练应用OFFICE办公软件。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3.货代业务员岗位职责和要求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岗位职责：负责开发潜在客户、跟进并促成订单、针对客户需求提供专业服务、完成公司规定的销售指标、管理维护客户关系。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岗位要求：熟悉货代市场行情、了解海运、空运航线、掌握必备的物流和货代知识。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4.货代操作员岗位职责和要求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岗位职责：负责收集或制作进出口所需单据、安排运输工具、报关、订舱，与船公司联系并制作相关单据，跟进运输过程和单据，存档工作文件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岗位要求：熟悉海运、空运等进出口操作流程以及相关货运知识，英语听说读写流利。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5.关务专员岗位职责和要求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岗位职责:负责进出口货物报关单证准备、进出区安排、办理进出口货物商检、海关、商务等政府部门相关单证，加工贸易账册/物流账册日常维护、对保税业务进行跟踪管理。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岗位要求：</w:t>
      </w:r>
      <w:r>
        <w:rPr>
          <w:rFonts w:hint="eastAsia" w:ascii="宋体" w:hAnsi="宋体"/>
          <w:sz w:val="24"/>
          <w:szCs w:val="24"/>
          <w:lang w:val="en-US" w:eastAsia="zh-CN"/>
        </w:rPr>
        <w:t>熟悉海关通关流程、海关法规和政策、国际贸易相关的法律法规。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6.跨境电商运营专员岗位职责和要求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职责:负责处理B2B平台及公司官网的询盘，提供产品解决方案，引导客户购买，促成交易，负责公司官网及B2B平台的建设、设计与维护，参与制定网站阶段性推广计划与数据分析，完成阶段性推广业务，负责展会及电子商务平台的筹备、策划等工作，通过网络等各种途径，收集和整理国外商务信息，开拓新市场，发展新客户。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岗位要求：熟悉跨境电商平台规则、跨境电商运营基本操作、掌握跨境电商营销技巧。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（二）适应职业需求的专业</w:t>
      </w:r>
      <w:r>
        <w:rPr>
          <w:rFonts w:hint="eastAsia" w:ascii="宋体" w:hAnsi="宋体"/>
          <w:b w:val="0"/>
          <w:bCs w:val="0"/>
          <w:sz w:val="24"/>
          <w:szCs w:val="24"/>
        </w:rPr>
        <w:t>课程体系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优化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参考专业国家教学标准，面向关务与外贸服务相关行业，尤其是新兴行业，如跨境电子商务，对接相关工作岗位，进行职业能力分析,确定培养核心职业能力所需的知识和理论基础，使本专业课程设置符合社会经济发展及职业发展需要。经梳理，专业核心课程调整为《国际贸易实务》、《外贸单证实务》、《商品归类实务》、《海关通关实务》、《国际货运代理实务》、《跨境电子商务》和《进出口税费核算实务》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对接</w:t>
      </w:r>
      <w:r>
        <w:rPr>
          <w:rFonts w:hint="eastAsia" w:ascii="宋体" w:hAnsi="宋体"/>
          <w:sz w:val="24"/>
          <w:szCs w:val="24"/>
          <w:lang w:val="en-US" w:eastAsia="zh-CN"/>
        </w:rPr>
        <w:t>专业</w:t>
      </w:r>
      <w:r>
        <w:rPr>
          <w:rFonts w:ascii="宋体" w:hAnsi="宋体"/>
          <w:sz w:val="24"/>
          <w:szCs w:val="24"/>
        </w:rPr>
        <w:t>岗位技能标准</w:t>
      </w:r>
      <w:r>
        <w:rPr>
          <w:rFonts w:hint="eastAsia" w:ascii="宋体" w:hAnsi="宋体"/>
          <w:sz w:val="24"/>
          <w:szCs w:val="24"/>
          <w:lang w:val="en-US" w:eastAsia="zh-CN"/>
        </w:rPr>
        <w:t>和职业技能大赛</w:t>
      </w:r>
      <w:r>
        <w:rPr>
          <w:rFonts w:hint="eastAsia" w:ascii="宋体" w:hAnsi="宋体"/>
          <w:sz w:val="24"/>
          <w:szCs w:val="24"/>
        </w:rPr>
        <w:t>，构建系统性实践教学体系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增设《商品归类技能训练》和《跨境电子商务技能训练》；对接1+X证书，开设《现代物流管理基础》、《运输管理实务》和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《物流信息技术》，</w:t>
      </w:r>
      <w:r>
        <w:rPr>
          <w:rFonts w:hint="eastAsia" w:ascii="宋体" w:hAnsi="宋体"/>
          <w:sz w:val="24"/>
          <w:szCs w:val="24"/>
          <w:lang w:val="en-US" w:eastAsia="zh-CN"/>
        </w:rPr>
        <w:t>实现教、学、做一体化，岗、课、赛、证相融合。</w:t>
      </w:r>
    </w:p>
    <w:p>
      <w:pPr>
        <w:spacing w:line="360" w:lineRule="auto"/>
        <w:ind w:firstLine="480" w:firstLineChars="200"/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对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实训项目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进行整合并优化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：</w:t>
      </w:r>
    </w:p>
    <w:p>
      <w:pPr>
        <w:spacing w:line="360" w:lineRule="auto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1.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报关单项实训，包括：商品归类实训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外贸单证实训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关检合并货物申报操作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企业及相关证书申报操作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保税货物申报操作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运输工具申报操作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出口退税申报操作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2.跨境电商综合实训，包括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：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B2B业务实训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B2B跟单实训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B2C多平台实战实训；</w:t>
      </w:r>
    </w:p>
    <w:p>
      <w:pPr>
        <w:spacing w:line="360" w:lineRule="auto"/>
        <w:ind w:firstLine="480" w:firstLineChars="200"/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3.关务综合实训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，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包括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：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一般贸易进口全流程操作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一般贸易出口全流程操作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加工贸易申报操作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Hans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Hans"/>
        </w:rPr>
        <w:t>跨境电商申报操作。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（三）混合式教学改革持续推进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根据“互联网+职业教育”新要求，合理使用职业教育专业教学资源库、在线开放课程教学平台和企业行业资源平台，串联线上教学资源、教材和线下实训基地，推进混合式教学，利用丰富的数字化教学资</w:t>
      </w:r>
      <w:r>
        <w:rPr>
          <w:rFonts w:hint="eastAsia" w:ascii="宋体" w:hAnsi="宋体"/>
          <w:color w:val="auto"/>
          <w:sz w:val="24"/>
          <w:szCs w:val="24"/>
        </w:rPr>
        <w:t>源，改革教学方法，深耕教育教学改革研究，形成传统与现代化手段并重，线上线下结合，学校资源与企业资源共享的相辅相成的教学模式。</w:t>
      </w:r>
    </w:p>
    <w:p>
      <w:pPr>
        <w:spacing w:line="360" w:lineRule="auto"/>
        <w:ind w:firstLine="480" w:firstLineChars="200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专业课程体系中开设两门线上线下混合式教学的专业课程，《外贸单证实务》和《集装箱运输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实务》；两门专业选修课,《物流信息技术》和《应用文写作》。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旗黑-55简">
    <w:panose1 w:val="00020600040101010101"/>
    <w:charset w:val="80"/>
    <w:family w:val="auto"/>
    <w:pitch w:val="default"/>
    <w:sig w:usb0="A00002BF" w:usb1="1ACF7CFA" w:usb2="00000016" w:usb3="00000000" w:csb0="0004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 xml:space="preserve"> / </w:t>
    </w:r>
    <w:r>
      <w:fldChar w:fldCharType="begin"/>
    </w:r>
    <w:r>
      <w:instrText xml:space="preserve">NUMPAGES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24AAAA"/>
    <w:multiLevelType w:val="singleLevel"/>
    <w:tmpl w:val="4424AAA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456D85FD"/>
    <w:multiLevelType w:val="singleLevel"/>
    <w:tmpl w:val="456D85F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OTZhZjAxZmM4NTExZTQzYWEwNDMzMDY3MDQ0NTMifQ=="/>
  </w:docVars>
  <w:rsids>
    <w:rsidRoot w:val="003C12F9"/>
    <w:rsid w:val="000A205F"/>
    <w:rsid w:val="000B07FD"/>
    <w:rsid w:val="000E3B2A"/>
    <w:rsid w:val="002E6BB1"/>
    <w:rsid w:val="003C12F9"/>
    <w:rsid w:val="00450EA8"/>
    <w:rsid w:val="00463EDB"/>
    <w:rsid w:val="004B0918"/>
    <w:rsid w:val="004D334C"/>
    <w:rsid w:val="005B0E0A"/>
    <w:rsid w:val="005B13F6"/>
    <w:rsid w:val="00607308"/>
    <w:rsid w:val="006121D6"/>
    <w:rsid w:val="00613615"/>
    <w:rsid w:val="00650B9D"/>
    <w:rsid w:val="006C4F34"/>
    <w:rsid w:val="006D3296"/>
    <w:rsid w:val="006E3DC4"/>
    <w:rsid w:val="007211BD"/>
    <w:rsid w:val="00745A93"/>
    <w:rsid w:val="00750736"/>
    <w:rsid w:val="007A7BF1"/>
    <w:rsid w:val="007F5C66"/>
    <w:rsid w:val="0080522D"/>
    <w:rsid w:val="00845FC3"/>
    <w:rsid w:val="00857547"/>
    <w:rsid w:val="008619C8"/>
    <w:rsid w:val="009077F3"/>
    <w:rsid w:val="009A2099"/>
    <w:rsid w:val="009F0E45"/>
    <w:rsid w:val="00A515C2"/>
    <w:rsid w:val="00BE4BB3"/>
    <w:rsid w:val="00BE7C21"/>
    <w:rsid w:val="00C06015"/>
    <w:rsid w:val="00CD701E"/>
    <w:rsid w:val="00E61B15"/>
    <w:rsid w:val="00E6682F"/>
    <w:rsid w:val="00E93B8A"/>
    <w:rsid w:val="00E95161"/>
    <w:rsid w:val="00ED42E0"/>
    <w:rsid w:val="00F247E1"/>
    <w:rsid w:val="00FA016A"/>
    <w:rsid w:val="00FA3116"/>
    <w:rsid w:val="08737769"/>
    <w:rsid w:val="223E2A0E"/>
    <w:rsid w:val="329F316B"/>
    <w:rsid w:val="3A844DE4"/>
    <w:rsid w:val="3FA919D6"/>
    <w:rsid w:val="3FD7149C"/>
    <w:rsid w:val="3FFBFA98"/>
    <w:rsid w:val="55C814D5"/>
    <w:rsid w:val="5BBE5E5C"/>
    <w:rsid w:val="5DB64A66"/>
    <w:rsid w:val="730D55B4"/>
    <w:rsid w:val="74FF4413"/>
    <w:rsid w:val="7DFC4726"/>
    <w:rsid w:val="7FD99B6C"/>
    <w:rsid w:val="AEFD965C"/>
    <w:rsid w:val="BBA3D31B"/>
    <w:rsid w:val="BE7B228E"/>
    <w:rsid w:val="D2FFAEA5"/>
    <w:rsid w:val="DA5FD39B"/>
    <w:rsid w:val="F1A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34"/>
    <w:qFormat/>
    <w:locked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link w:val="30"/>
    <w:unhideWhenUsed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  <w:lang w:val="zh-CN" w:eastAsia="zh-CN"/>
    </w:rPr>
  </w:style>
  <w:style w:type="paragraph" w:styleId="5">
    <w:name w:val="heading 3"/>
    <w:basedOn w:val="1"/>
    <w:next w:val="1"/>
    <w:link w:val="31"/>
    <w:unhideWhenUsed/>
    <w:qFormat/>
    <w:locked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  <w:lang w:val="zh-CN" w:eastAsia="zh-CN"/>
    </w:rPr>
  </w:style>
  <w:style w:type="character" w:default="1" w:styleId="19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6">
    <w:name w:val="annotation text"/>
    <w:basedOn w:val="1"/>
    <w:link w:val="44"/>
    <w:unhideWhenUsed/>
    <w:qFormat/>
    <w:uiPriority w:val="0"/>
    <w:pPr>
      <w:jc w:val="left"/>
    </w:pPr>
    <w:rPr>
      <w:szCs w:val="24"/>
      <w:lang w:val="zh-CN" w:eastAsia="zh-CN"/>
    </w:rPr>
  </w:style>
  <w:style w:type="paragraph" w:styleId="7">
    <w:name w:val="Body Text Indent"/>
    <w:basedOn w:val="1"/>
    <w:link w:val="57"/>
    <w:qFormat/>
    <w:uiPriority w:val="99"/>
    <w:pPr>
      <w:spacing w:before="100" w:beforeAutospacing="1" w:after="100" w:afterAutospacing="1" w:line="440" w:lineRule="exact"/>
      <w:ind w:firstLine="720" w:firstLineChars="300"/>
      <w:jc w:val="left"/>
    </w:pPr>
    <w:rPr>
      <w:sz w:val="24"/>
      <w:szCs w:val="24"/>
      <w:lang w:val="zh-CN" w:eastAsia="zh-CN"/>
    </w:rPr>
  </w:style>
  <w:style w:type="paragraph" w:styleId="8">
    <w:name w:val="Plain Text"/>
    <w:basedOn w:val="1"/>
    <w:link w:val="41"/>
    <w:qFormat/>
    <w:uiPriority w:val="0"/>
    <w:pPr>
      <w:widowControl/>
      <w:jc w:val="left"/>
    </w:pPr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37"/>
    <w:qFormat/>
    <w:uiPriority w:val="0"/>
    <w:pPr>
      <w:ind w:left="100" w:leftChars="2500"/>
    </w:pPr>
    <w:rPr>
      <w:szCs w:val="24"/>
    </w:rPr>
  </w:style>
  <w:style w:type="paragraph" w:styleId="10">
    <w:name w:val="endnote text"/>
    <w:basedOn w:val="1"/>
    <w:link w:val="60"/>
    <w:qFormat/>
    <w:uiPriority w:val="0"/>
    <w:pPr>
      <w:snapToGrid w:val="0"/>
      <w:jc w:val="left"/>
    </w:pPr>
    <w:rPr>
      <w:rFonts w:ascii="Times New Roman" w:hAnsi="Times New Roman"/>
      <w:szCs w:val="24"/>
      <w:lang w:val="zh-CN" w:eastAsia="zh-CN"/>
    </w:rPr>
  </w:style>
  <w:style w:type="paragraph" w:styleId="11">
    <w:name w:val="Balloon Text"/>
    <w:basedOn w:val="1"/>
    <w:link w:val="38"/>
    <w:qFormat/>
    <w:uiPriority w:val="0"/>
    <w:rPr>
      <w:sz w:val="18"/>
      <w:szCs w:val="18"/>
    </w:rPr>
  </w:style>
  <w:style w:type="paragraph" w:styleId="12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footnote text"/>
    <w:basedOn w:val="1"/>
    <w:link w:val="36"/>
    <w:qFormat/>
    <w:uiPriority w:val="0"/>
    <w:pPr>
      <w:snapToGrid w:val="0"/>
      <w:jc w:val="left"/>
    </w:pPr>
    <w:rPr>
      <w:sz w:val="18"/>
      <w:szCs w:val="18"/>
    </w:rPr>
  </w:style>
  <w:style w:type="paragraph" w:styleId="15">
    <w:name w:val="Normal (Web)"/>
    <w:basedOn w:val="1"/>
    <w:qFormat/>
    <w:uiPriority w:val="99"/>
    <w:pPr>
      <w:jc w:val="left"/>
    </w:pPr>
    <w:rPr>
      <w:kern w:val="0"/>
      <w:sz w:val="24"/>
    </w:rPr>
  </w:style>
  <w:style w:type="paragraph" w:styleId="16">
    <w:name w:val="annotation subject"/>
    <w:basedOn w:val="6"/>
    <w:next w:val="6"/>
    <w:link w:val="35"/>
    <w:qFormat/>
    <w:uiPriority w:val="0"/>
    <w:rPr>
      <w:b/>
      <w:bCs/>
      <w:szCs w:val="22"/>
      <w:lang w:val="en-US" w:eastAsia="zh-CN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qFormat/>
    <w:uiPriority w:val="99"/>
    <w:rPr>
      <w:rFonts w:cs="Times New Roman"/>
      <w:b/>
    </w:rPr>
  </w:style>
  <w:style w:type="character" w:styleId="21">
    <w:name w:val="endnote reference"/>
    <w:qFormat/>
    <w:uiPriority w:val="0"/>
    <w:rPr>
      <w:vertAlign w:val="superscript"/>
    </w:rPr>
  </w:style>
  <w:style w:type="character" w:styleId="22">
    <w:name w:val="page number"/>
    <w:basedOn w:val="19"/>
    <w:qFormat/>
    <w:uiPriority w:val="0"/>
  </w:style>
  <w:style w:type="character" w:styleId="23">
    <w:name w:val="Hyperlink"/>
    <w:unhideWhenUsed/>
    <w:qFormat/>
    <w:uiPriority w:val="99"/>
    <w:rPr>
      <w:color w:val="0000FF"/>
      <w:u w:val="single"/>
    </w:rPr>
  </w:style>
  <w:style w:type="character" w:styleId="24">
    <w:name w:val="footnote reference"/>
    <w:qFormat/>
    <w:uiPriority w:val="0"/>
    <w:rPr>
      <w:rFonts w:cs="Times New Roman"/>
      <w:vertAlign w:val="superscript"/>
    </w:rPr>
  </w:style>
  <w:style w:type="character" w:customStyle="1" w:styleId="25">
    <w:name w:val="页脚 字符"/>
    <w:link w:val="12"/>
    <w:semiHidden/>
    <w:qFormat/>
    <w:uiPriority w:val="99"/>
    <w:rPr>
      <w:sz w:val="18"/>
      <w:szCs w:val="18"/>
    </w:rPr>
  </w:style>
  <w:style w:type="character" w:customStyle="1" w:styleId="26">
    <w:name w:val="页眉 字符"/>
    <w:link w:val="13"/>
    <w:semiHidden/>
    <w:qFormat/>
    <w:uiPriority w:val="99"/>
    <w:rPr>
      <w:sz w:val="18"/>
      <w:szCs w:val="18"/>
    </w:rPr>
  </w:style>
  <w:style w:type="paragraph" w:customStyle="1" w:styleId="27">
    <w:name w:val="List Paragraph1"/>
    <w:basedOn w:val="1"/>
    <w:qFormat/>
    <w:uiPriority w:val="99"/>
    <w:pPr>
      <w:ind w:firstLine="420" w:firstLineChars="200"/>
    </w:pPr>
  </w:style>
  <w:style w:type="character" w:customStyle="1" w:styleId="28">
    <w:name w:val="stylenr"/>
    <w:qFormat/>
    <w:uiPriority w:val="99"/>
    <w:rPr>
      <w:rFonts w:cs="Times New Roman"/>
    </w:rPr>
  </w:style>
  <w:style w:type="character" w:customStyle="1" w:styleId="29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30">
    <w:name w:val="标题 2 字符"/>
    <w:link w:val="4"/>
    <w:semiHidden/>
    <w:qFormat/>
    <w:uiPriority w:val="0"/>
    <w:rPr>
      <w:rFonts w:ascii="等线 Light" w:hAnsi="等线 Light" w:eastAsia="等线 Light"/>
      <w:b/>
      <w:bCs/>
      <w:sz w:val="32"/>
      <w:szCs w:val="32"/>
      <w:lang w:val="zh-CN" w:eastAsia="zh-CN"/>
    </w:rPr>
  </w:style>
  <w:style w:type="character" w:customStyle="1" w:styleId="31">
    <w:name w:val="标题 3 字符"/>
    <w:link w:val="5"/>
    <w:semiHidden/>
    <w:qFormat/>
    <w:uiPriority w:val="9"/>
    <w:rPr>
      <w:rFonts w:ascii="Times New Roman" w:hAnsi="Times New Roman"/>
      <w:b/>
      <w:bCs/>
      <w:sz w:val="32"/>
      <w:szCs w:val="32"/>
      <w:lang w:val="zh-CN" w:eastAsia="zh-CN"/>
    </w:rPr>
  </w:style>
  <w:style w:type="character" w:customStyle="1" w:styleId="32">
    <w:name w:val="标题 1 Char"/>
    <w:qFormat/>
    <w:uiPriority w:val="9"/>
    <w:rPr>
      <w:b/>
      <w:bCs/>
      <w:kern w:val="44"/>
      <w:sz w:val="44"/>
      <w:szCs w:val="44"/>
    </w:rPr>
  </w:style>
  <w:style w:type="character" w:customStyle="1" w:styleId="33">
    <w:name w:val="页眉 Char1"/>
    <w:qFormat/>
    <w:locked/>
    <w:uiPriority w:val="0"/>
    <w:rPr>
      <w:kern w:val="2"/>
      <w:sz w:val="18"/>
      <w:szCs w:val="18"/>
    </w:rPr>
  </w:style>
  <w:style w:type="character" w:customStyle="1" w:styleId="34">
    <w:name w:val="标题 1 Char1"/>
    <w:link w:val="3"/>
    <w:qFormat/>
    <w:uiPriority w:val="0"/>
    <w:rPr>
      <w:b/>
      <w:bCs/>
      <w:kern w:val="44"/>
      <w:sz w:val="44"/>
      <w:szCs w:val="44"/>
      <w:lang w:val="zh-CN" w:eastAsia="zh-CN"/>
    </w:rPr>
  </w:style>
  <w:style w:type="character" w:customStyle="1" w:styleId="35">
    <w:name w:val="批注主题 Char1"/>
    <w:link w:val="16"/>
    <w:qFormat/>
    <w:uiPriority w:val="0"/>
    <w:rPr>
      <w:b/>
      <w:bCs/>
    </w:rPr>
  </w:style>
  <w:style w:type="character" w:customStyle="1" w:styleId="36">
    <w:name w:val="脚注文本 Char1"/>
    <w:link w:val="14"/>
    <w:qFormat/>
    <w:uiPriority w:val="0"/>
    <w:rPr>
      <w:sz w:val="18"/>
      <w:szCs w:val="18"/>
    </w:rPr>
  </w:style>
  <w:style w:type="character" w:customStyle="1" w:styleId="37">
    <w:name w:val="日期 Char1"/>
    <w:link w:val="9"/>
    <w:qFormat/>
    <w:uiPriority w:val="0"/>
    <w:rPr>
      <w:szCs w:val="24"/>
    </w:rPr>
  </w:style>
  <w:style w:type="character" w:customStyle="1" w:styleId="38">
    <w:name w:val="批注框文本 Char1"/>
    <w:link w:val="11"/>
    <w:qFormat/>
    <w:uiPriority w:val="0"/>
    <w:rPr>
      <w:sz w:val="18"/>
      <w:szCs w:val="18"/>
    </w:rPr>
  </w:style>
  <w:style w:type="character" w:customStyle="1" w:styleId="39">
    <w:name w:val="批注文字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40">
    <w:name w:val="页脚 Char1"/>
    <w:qFormat/>
    <w:locked/>
    <w:uiPriority w:val="99"/>
    <w:rPr>
      <w:kern w:val="2"/>
      <w:sz w:val="18"/>
      <w:szCs w:val="18"/>
    </w:rPr>
  </w:style>
  <w:style w:type="character" w:customStyle="1" w:styleId="41">
    <w:name w:val="纯文本 Char1"/>
    <w:link w:val="8"/>
    <w:qFormat/>
    <w:uiPriority w:val="0"/>
    <w:rPr>
      <w:rFonts w:ascii="宋体" w:hAnsi="Courier New" w:cs="Courier New"/>
      <w:szCs w:val="21"/>
    </w:rPr>
  </w:style>
  <w:style w:type="character" w:customStyle="1" w:styleId="42">
    <w:name w:val="页眉 Char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3">
    <w:name w:val="批注文字 字符1"/>
    <w:basedOn w:val="19"/>
    <w:semiHidden/>
    <w:qFormat/>
    <w:uiPriority w:val="99"/>
  </w:style>
  <w:style w:type="character" w:customStyle="1" w:styleId="44">
    <w:name w:val="批注文字 Char"/>
    <w:link w:val="6"/>
    <w:qFormat/>
    <w:uiPriority w:val="0"/>
    <w:rPr>
      <w:szCs w:val="24"/>
      <w:lang w:val="zh-CN" w:eastAsia="zh-CN"/>
    </w:rPr>
  </w:style>
  <w:style w:type="character" w:customStyle="1" w:styleId="45">
    <w:name w:val="批注主题 字符"/>
    <w:semiHidden/>
    <w:qFormat/>
    <w:uiPriority w:val="99"/>
    <w:rPr>
      <w:b/>
      <w:bCs/>
    </w:rPr>
  </w:style>
  <w:style w:type="character" w:customStyle="1" w:styleId="46">
    <w:name w:val="批注主题 Char"/>
    <w:qFormat/>
    <w:uiPriority w:val="99"/>
    <w:rPr>
      <w:rFonts w:ascii="Calibri" w:hAnsi="Calibri"/>
      <w:b/>
      <w:bCs/>
      <w:kern w:val="2"/>
      <w:sz w:val="21"/>
      <w:szCs w:val="24"/>
    </w:rPr>
  </w:style>
  <w:style w:type="character" w:customStyle="1" w:styleId="47">
    <w:name w:val="页脚 Char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批注框文本 字符"/>
    <w:semiHidden/>
    <w:qFormat/>
    <w:uiPriority w:val="99"/>
    <w:rPr>
      <w:sz w:val="18"/>
      <w:szCs w:val="18"/>
    </w:rPr>
  </w:style>
  <w:style w:type="character" w:customStyle="1" w:styleId="49">
    <w:name w:val="批注框文本 Char"/>
    <w:qFormat/>
    <w:uiPriority w:val="99"/>
    <w:rPr>
      <w:kern w:val="2"/>
      <w:sz w:val="18"/>
      <w:szCs w:val="18"/>
    </w:rPr>
  </w:style>
  <w:style w:type="character" w:customStyle="1" w:styleId="50">
    <w:name w:val="脚注文本 字符"/>
    <w:semiHidden/>
    <w:qFormat/>
    <w:uiPriority w:val="99"/>
    <w:rPr>
      <w:sz w:val="18"/>
      <w:szCs w:val="18"/>
    </w:rPr>
  </w:style>
  <w:style w:type="character" w:customStyle="1" w:styleId="51">
    <w:name w:val="脚注文本 Char"/>
    <w:qFormat/>
    <w:uiPriority w:val="99"/>
    <w:rPr>
      <w:kern w:val="2"/>
      <w:sz w:val="18"/>
      <w:szCs w:val="18"/>
    </w:rPr>
  </w:style>
  <w:style w:type="character" w:customStyle="1" w:styleId="52">
    <w:name w:val="日期 字符"/>
    <w:basedOn w:val="19"/>
    <w:semiHidden/>
    <w:qFormat/>
    <w:uiPriority w:val="99"/>
  </w:style>
  <w:style w:type="character" w:customStyle="1" w:styleId="53">
    <w:name w:val="日期 Char"/>
    <w:qFormat/>
    <w:uiPriority w:val="99"/>
    <w:rPr>
      <w:kern w:val="2"/>
      <w:sz w:val="21"/>
      <w:szCs w:val="24"/>
    </w:rPr>
  </w:style>
  <w:style w:type="character" w:customStyle="1" w:styleId="54">
    <w:name w:val="纯文本 字符"/>
    <w:semiHidden/>
    <w:qFormat/>
    <w:uiPriority w:val="99"/>
    <w:rPr>
      <w:rFonts w:ascii="宋体" w:hAnsi="Courier New" w:cs="Courier New"/>
      <w:szCs w:val="21"/>
    </w:rPr>
  </w:style>
  <w:style w:type="character" w:customStyle="1" w:styleId="55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56">
    <w:name w:val="正文文本缩进 字符"/>
    <w:basedOn w:val="19"/>
    <w:semiHidden/>
    <w:qFormat/>
    <w:uiPriority w:val="99"/>
  </w:style>
  <w:style w:type="character" w:customStyle="1" w:styleId="57">
    <w:name w:val="正文文本缩进 Char"/>
    <w:link w:val="7"/>
    <w:qFormat/>
    <w:uiPriority w:val="99"/>
    <w:rPr>
      <w:sz w:val="24"/>
      <w:szCs w:val="24"/>
      <w:lang w:val="zh-CN" w:eastAsia="zh-CN"/>
    </w:rPr>
  </w:style>
  <w:style w:type="paragraph" w:customStyle="1" w:styleId="58">
    <w:name w:val="标题3"/>
    <w:basedOn w:val="1"/>
    <w:next w:val="1"/>
    <w:qFormat/>
    <w:uiPriority w:val="0"/>
    <w:rPr>
      <w:rFonts w:eastAsia="方正黑体_GBK"/>
      <w:szCs w:val="24"/>
    </w:rPr>
  </w:style>
  <w:style w:type="character" w:customStyle="1" w:styleId="59">
    <w:name w:val="尾注文本 字符"/>
    <w:basedOn w:val="19"/>
    <w:semiHidden/>
    <w:qFormat/>
    <w:uiPriority w:val="99"/>
  </w:style>
  <w:style w:type="character" w:customStyle="1" w:styleId="60">
    <w:name w:val="尾注文本 Char"/>
    <w:link w:val="10"/>
    <w:qFormat/>
    <w:uiPriority w:val="0"/>
    <w:rPr>
      <w:rFonts w:ascii="Times New Roman" w:hAnsi="Times New Roman"/>
      <w:szCs w:val="24"/>
      <w:lang w:val="zh-CN" w:eastAsia="zh-CN"/>
    </w:rPr>
  </w:style>
  <w:style w:type="paragraph" w:customStyle="1" w:styleId="61">
    <w:name w:val="四号 正文"/>
    <w:basedOn w:val="1"/>
    <w:qFormat/>
    <w:uiPriority w:val="0"/>
    <w:pPr>
      <w:spacing w:line="480" w:lineRule="exact"/>
      <w:ind w:firstLine="584" w:firstLineChars="200"/>
    </w:pPr>
    <w:rPr>
      <w:rFonts w:ascii="宋体" w:hAnsi="宋体"/>
      <w:spacing w:val="6"/>
      <w:sz w:val="28"/>
      <w:szCs w:val="28"/>
    </w:rPr>
  </w:style>
  <w:style w:type="character" w:customStyle="1" w:styleId="62">
    <w:name w:val="font4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3">
    <w:name w:val="font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paragraph" w:customStyle="1" w:styleId="64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customStyle="1" w:styleId="65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hart" Target="charts/chart3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4" Type="http://schemas.microsoft.com/office/2011/relationships/chartColorStyle" Target="colors1.xml"/><Relationship Id="rId3" Type="http://schemas.microsoft.com/office/2011/relationships/chartStyle" Target="style1.xml"/><Relationship Id="rId2" Type="http://schemas.openxmlformats.org/officeDocument/2006/relationships/themeOverride" Target="../theme/themeOverride1.xml"/><Relationship Id="rId1" Type="http://schemas.openxmlformats.org/officeDocument/2006/relationships/oleObject" Target="&#24037;&#20316;&#31807;1" TargetMode="External"/></Relationships>
</file>

<file path=word/charts/_rels/chart2.xml.rels><?xml version="1.0" encoding="UTF-8" standalone="yes"?>
<Relationships xmlns="http://schemas.openxmlformats.org/package/2006/relationships"><Relationship Id="rId4" Type="http://schemas.microsoft.com/office/2011/relationships/chartColorStyle" Target="colors2.xml"/><Relationship Id="rId3" Type="http://schemas.microsoft.com/office/2011/relationships/chartStyle" Target="style2.xml"/><Relationship Id="rId2" Type="http://schemas.openxmlformats.org/officeDocument/2006/relationships/themeOverride" Target="../theme/themeOverride2.xml"/><Relationship Id="rId1" Type="http://schemas.openxmlformats.org/officeDocument/2006/relationships/oleObject" Target="/Volumes/XLEAFLET%201/22-23-2/&#25945;&#30740;&#23460;/2023&#20154;&#22521;/&#24037;&#20316;&#31807;1.xlsx" TargetMode="External"/></Relationships>
</file>

<file path=word/charts/_rels/chart3.xml.rels><?xml version="1.0" encoding="UTF-8" standalone="yes"?>
<Relationships xmlns="http://schemas.openxmlformats.org/package/2006/relationships"><Relationship Id="rId5" Type="http://schemas.microsoft.com/office/2011/relationships/chartColorStyle" Target="colors3.xml"/><Relationship Id="rId4" Type="http://schemas.microsoft.com/office/2011/relationships/chartStyle" Target="style3.xml"/><Relationship Id="rId3" Type="http://schemas.openxmlformats.org/officeDocument/2006/relationships/image" Target="../media/image2.png"/><Relationship Id="rId2" Type="http://schemas.openxmlformats.org/officeDocument/2006/relationships/themeOverride" Target="../theme/themeOverride3.xml"/><Relationship Id="rId1" Type="http://schemas.openxmlformats.org/officeDocument/2006/relationships/oleObject" Target="file:///G:\22-23-2\&#25945;&#30740;&#23460;\2023&#20154;&#22521;\&#24037;&#20316;&#31807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0" vertOverflow="ellipsis" vert="horz" wrap="square" anchor="ctr" anchorCtr="1" forceAA="0"/>
          <a:lstStyle/>
          <a:p>
            <a:pPr>
              <a:defRPr lang="zh-CN"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t>江苏省进出口企业结构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spPr>
            <a:ln w="15875">
              <a:solidFill>
                <a:schemeClr val="bg1"/>
              </a:solidFill>
            </a:ln>
            <a:effectLst>
              <a:outerShdw blurRad="63500" sx="102000" sy="102000" algn="ctr" rotWithShape="0">
                <a:schemeClr val="tx1">
                  <a:lumMod val="50000"/>
                  <a:lumOff val="50000"/>
                  <a:alpha val="40000"/>
                </a:schemeClr>
              </a:outerShdw>
            </a:effectLst>
            <a:sp3d contourW="15875"/>
          </c:spPr>
          <c:explosion val="0"/>
          <c:dPt>
            <c:idx val="0"/>
            <c:bubble3D val="0"/>
            <c:spPr>
              <a:gradFill>
                <a:gsLst>
                  <a:gs pos="0">
                    <a:schemeClr val="accent1">
                      <a:lumMod val="60000"/>
                      <a:lumOff val="40000"/>
                    </a:schemeClr>
                  </a:gs>
                  <a:gs pos="80000">
                    <a:schemeClr val="accent1"/>
                  </a:gs>
                </a:gsLst>
                <a:lin ang="2700000" scaled="0"/>
              </a:gradFill>
              <a:ln w="15875">
                <a:solidFill>
                  <a:schemeClr val="bg1"/>
                </a:solidFill>
              </a:ln>
              <a:effectLst>
                <a:outerShdw blurRad="63500" sx="102000" sy="102000" algn="ctr" rotWithShape="0">
                  <a:schemeClr val="tx1">
                    <a:lumMod val="50000"/>
                    <a:lumOff val="50000"/>
                    <a:alpha val="40000"/>
                  </a:schemeClr>
                </a:outerShdw>
              </a:effectLst>
              <a:sp3d contourW="15875"/>
            </c:spPr>
          </c:dPt>
          <c:dPt>
            <c:idx val="1"/>
            <c:bubble3D val="0"/>
            <c:spPr>
              <a:gradFill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80000">
                    <a:schemeClr val="accent2"/>
                  </a:gs>
                </a:gsLst>
                <a:lin ang="2700000" scaled="0"/>
              </a:gradFill>
              <a:ln w="15875">
                <a:solidFill>
                  <a:schemeClr val="bg1"/>
                </a:solidFill>
              </a:ln>
              <a:effectLst>
                <a:outerShdw blurRad="63500" sx="102000" sy="102000" algn="ctr" rotWithShape="0">
                  <a:schemeClr val="tx1">
                    <a:lumMod val="50000"/>
                    <a:lumOff val="50000"/>
                    <a:alpha val="40000"/>
                  </a:schemeClr>
                </a:outerShdw>
              </a:effectLst>
              <a:sp3d contourW="15875"/>
            </c:spPr>
          </c:dPt>
          <c:dPt>
            <c:idx val="2"/>
            <c:bubble3D val="0"/>
            <c:spPr>
              <a:gradFill>
                <a:gsLst>
                  <a:gs pos="0">
                    <a:schemeClr val="accent3">
                      <a:lumMod val="60000"/>
                      <a:lumOff val="40000"/>
                    </a:schemeClr>
                  </a:gs>
                  <a:gs pos="80000">
                    <a:schemeClr val="accent3"/>
                  </a:gs>
                </a:gsLst>
                <a:lin ang="2700000" scaled="0"/>
              </a:gradFill>
              <a:ln w="19050">
                <a:solidFill>
                  <a:schemeClr val="bg1"/>
                </a:solidFill>
              </a:ln>
              <a:effectLst>
                <a:outerShdw blurRad="63500" sx="102000" sy="102000" algn="ctr" rotWithShape="0">
                  <a:schemeClr val="tx1">
                    <a:lumMod val="50000"/>
                    <a:lumOff val="50000"/>
                    <a:alpha val="40000"/>
                  </a:schemeClr>
                </a:outerShdw>
              </a:effectLst>
              <a:sp3d contourW="19050"/>
            </c:spPr>
          </c:dPt>
          <c:dLbls>
            <c:dLbl>
              <c:idx val="0"/>
              <c:layout/>
              <c:numFmt formatCode="General" sourceLinked="1"/>
              <c:spPr>
                <a:solidFill>
                  <a:schemeClr val="lt1"/>
                </a:solidFill>
                <a:ln>
                  <a:solidFill>
                    <a:schemeClr val="accent1"/>
                  </a:solidFill>
                </a:ln>
                <a:effectLst>
                  <a:outerShdw blurRad="63500" sx="102000" sy="102000" algn="ctr" rotWithShape="0">
                    <a:schemeClr val="accent1">
                      <a:lumMod val="50000"/>
                      <a:alpha val="40000"/>
                    </a:schemeClr>
                  </a:outerShdw>
                </a:effectLst>
              </c:spPr>
              <c:txPr>
                <a:bodyPr rot="0" spcFirstLastPara="0" vertOverflow="clip" vert="horz" wrap="square" lIns="36576" tIns="18288" rIns="36576" bIns="18288" anchor="ctr" anchorCtr="1" forceAA="0"/>
                <a:lstStyle/>
                <a:p>
                  <a:pPr>
                    <a:defRPr lang="zh-CN" sz="900" b="0" i="0" u="none" strike="noStrike" kern="120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numFmt formatCode="General" sourceLinked="1"/>
              <c:spPr>
                <a:solidFill>
                  <a:schemeClr val="lt1"/>
                </a:solidFill>
                <a:ln>
                  <a:solidFill>
                    <a:schemeClr val="accent2"/>
                  </a:solidFill>
                </a:ln>
                <a:effectLst>
                  <a:outerShdw blurRad="63500" sx="102000" sy="102000" algn="ctr" rotWithShape="0">
                    <a:schemeClr val="accent2">
                      <a:lumMod val="50000"/>
                      <a:alpha val="40000"/>
                    </a:schemeClr>
                  </a:outerShdw>
                </a:effectLst>
              </c:spPr>
              <c:txPr>
                <a:bodyPr rot="0" spcFirstLastPara="0" vertOverflow="clip" vert="horz" wrap="square" lIns="36576" tIns="18288" rIns="36576" bIns="18288" anchor="ctr" anchorCtr="1" forceAA="0"/>
                <a:lstStyle/>
                <a:p>
                  <a:pPr>
                    <a:defRPr lang="zh-CN" sz="900" b="0" i="0" u="none" strike="noStrike" kern="120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solidFill>
                <a:schemeClr val="lt1"/>
              </a:solidFill>
              <a:ln>
                <a:solidFill>
                  <a:schemeClr val="dk1">
                    <a:lumMod val="25000"/>
                    <a:lumOff val="75000"/>
                  </a:schemeClr>
                </a:solidFill>
              </a:ln>
              <a:effectLst>
                <a:outerShdw blurRad="63500" sx="102000" sy="102000" algn="ctr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0" vertOverflow="clip" horzOverflow="clip" vert="horz" wrap="square" lIns="36576" tIns="18288" rIns="36576" bIns="18288" anchor="ctr" anchorCtr="1" forceAA="0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oundRec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[工作簿1]Sheet1!$E$15:$G$15</c:f>
              <c:strCache>
                <c:ptCount val="3"/>
                <c:pt idx="0">
                  <c:v>批发零售业</c:v>
                </c:pt>
                <c:pt idx="1">
                  <c:v>制造业</c:v>
                </c:pt>
                <c:pt idx="2">
                  <c:v>其他</c:v>
                </c:pt>
              </c:strCache>
            </c:strRef>
          </c:cat>
          <c:val>
            <c:numRef>
              <c:f>[工作簿1]Sheet1!$E$16:$G$16</c:f>
              <c:numCache>
                <c:formatCode>General</c:formatCode>
                <c:ptCount val="3"/>
                <c:pt idx="0">
                  <c:v>150000</c:v>
                </c:pt>
                <c:pt idx="1">
                  <c:v>340000</c:v>
                </c:pt>
                <c:pt idx="2">
                  <c:v>10000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 forceAA="0"/>
        <a:lstStyle/>
        <a:p>
          <a:pPr>
            <a:defRPr lang="zh-CN"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85000"/>
        </a:schemeClr>
      </a:solidFill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0" vertOverflow="ellipsis" vert="horz" wrap="square" anchor="ctr" anchorCtr="1" forceAA="0"/>
          <a:lstStyle/>
          <a:p>
            <a:pPr>
              <a:defRPr lang="zh-CN"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t>长三角地区成立</a:t>
            </a:r>
            <a:r>
              <a:rPr lang="en-US" altLang="zh-CN"/>
              <a:t>5-10</a:t>
            </a:r>
            <a:r>
              <a:rPr altLang="en-US"/>
              <a:t>年注册资金</a:t>
            </a:r>
            <a:r>
              <a:rPr lang="en-US" altLang="zh-CN"/>
              <a:t>1000</a:t>
            </a:r>
            <a:r>
              <a:rPr altLang="en-US"/>
              <a:t>万元以上外贸类企业数量对比</a:t>
            </a:r>
            <a:endParaRPr lang="en-US" altLang="zh-CN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15875">
              <a:solidFill>
                <a:schemeClr val="bg1"/>
              </a:solidFill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sp3d contourW="15875"/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0">
                    <a:schemeClr val="accent1">
                      <a:lumMod val="60000"/>
                      <a:lumOff val="40000"/>
                    </a:schemeClr>
                  </a:gs>
                  <a:gs pos="70000">
                    <a:schemeClr val="accent1"/>
                  </a:gs>
                </a:gsLst>
                <a:lin ang="5400000" scaled="0"/>
              </a:gradFill>
              <a:ln w="15875">
                <a:solidFill>
                  <a:schemeClr val="bg1"/>
                </a:solidFill>
              </a:ln>
              <a:effectLst>
                <a:outerShdw blurRad="50800" dist="38100" dir="2700000" algn="tl" rotWithShape="0">
                  <a:schemeClr val="accent1">
                    <a:lumMod val="50000"/>
                    <a:alpha val="40000"/>
                  </a:schemeClr>
                </a:outerShdw>
              </a:effectLst>
              <a:sp3d contourW="15875"/>
            </c:spPr>
          </c:dPt>
          <c:dPt>
            <c:idx val="1"/>
            <c:invertIfNegative val="0"/>
            <c:bubble3D val="0"/>
            <c:spPr>
              <a:gradFill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70000">
                    <a:schemeClr val="accent2"/>
                  </a:gs>
                </a:gsLst>
                <a:lin ang="5400000" scaled="0"/>
              </a:gradFill>
              <a:ln w="15875">
                <a:solidFill>
                  <a:schemeClr val="bg1"/>
                </a:solidFill>
              </a:ln>
              <a:effectLst>
                <a:outerShdw blurRad="50800" dist="38100" dir="2700000" algn="tl" rotWithShape="0">
                  <a:schemeClr val="accent2">
                    <a:lumMod val="50000"/>
                    <a:alpha val="40000"/>
                  </a:schemeClr>
                </a:outerShdw>
              </a:effectLst>
              <a:sp3d contourW="15875"/>
            </c:spPr>
          </c:dPt>
          <c:dPt>
            <c:idx val="2"/>
            <c:invertIfNegative val="0"/>
            <c:bubble3D val="0"/>
            <c:spPr>
              <a:pattFill prst="dkUpDiag">
                <a:fgClr>
                  <a:schemeClr val="accent3"/>
                </a:fgClr>
                <a:bgClr>
                  <a:schemeClr val="accent3">
                    <a:lumMod val="60000"/>
                    <a:lumOff val="40000"/>
                  </a:schemeClr>
                </a:bgClr>
              </a:pattFill>
              <a:ln w="19050">
                <a:solidFill>
                  <a:schemeClr val="bg1"/>
                </a:solidFill>
              </a:ln>
              <a:effectLst>
                <a:outerShdw blurRad="50800" dist="38100" dir="2700000" algn="tl" rotWithShape="0">
                  <a:schemeClr val="accent3">
                    <a:lumMod val="50000"/>
                    <a:alpha val="40000"/>
                  </a:schemeClr>
                </a:outerShdw>
              </a:effectLst>
              <a:sp3d contourW="19050"/>
            </c:spPr>
          </c:dPt>
          <c:dPt>
            <c:idx val="3"/>
            <c:invertIfNegative val="0"/>
            <c:bubble3D val="0"/>
            <c:spPr>
              <a:gradFill>
                <a:gsLst>
                  <a:gs pos="0">
                    <a:schemeClr val="accent4">
                      <a:lumMod val="60000"/>
                      <a:lumOff val="40000"/>
                    </a:schemeClr>
                  </a:gs>
                  <a:gs pos="70000">
                    <a:schemeClr val="accent4"/>
                  </a:gs>
                </a:gsLst>
                <a:lin ang="5400000" scaled="0"/>
              </a:gradFill>
              <a:ln w="15875">
                <a:solidFill>
                  <a:schemeClr val="bg1"/>
                </a:solidFill>
              </a:ln>
              <a:effectLst>
                <a:outerShdw blurRad="50800" dist="38100" dir="2700000" algn="tl" rotWithShape="0">
                  <a:schemeClr val="accent4">
                    <a:lumMod val="50000"/>
                    <a:alpha val="40000"/>
                  </a:schemeClr>
                </a:outerShdw>
              </a:effectLst>
              <a:sp3d contourW="15875"/>
            </c:spPr>
          </c:dPt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effectLst/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[工作簿1.xlsx]Sheet1!$B$19:$B$22</c:f>
              <c:strCache>
                <c:ptCount val="4"/>
                <c:pt idx="0">
                  <c:v>江苏</c:v>
                </c:pt>
                <c:pt idx="1">
                  <c:v>浙江</c:v>
                </c:pt>
                <c:pt idx="2">
                  <c:v>上海</c:v>
                </c:pt>
                <c:pt idx="3">
                  <c:v>安徽</c:v>
                </c:pt>
              </c:strCache>
            </c:strRef>
          </c:cat>
          <c:val>
            <c:numRef>
              <c:f>[工作簿1.xlsx]Sheet1!$C$19:$C$22</c:f>
              <c:numCache>
                <c:formatCode>General</c:formatCode>
                <c:ptCount val="4"/>
                <c:pt idx="0">
                  <c:v>71608</c:v>
                </c:pt>
                <c:pt idx="1">
                  <c:v>48137</c:v>
                </c:pt>
                <c:pt idx="2">
                  <c:v>55271</c:v>
                </c:pt>
                <c:pt idx="3">
                  <c:v>19082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1"/>
          <c:showBubbleSize val="0"/>
        </c:dLbls>
        <c:gapWidth val="150"/>
        <c:overlap val="0"/>
        <c:axId val="509740552"/>
        <c:axId val="28918629"/>
      </c:barChart>
      <c:catAx>
        <c:axId val="509740552"/>
        <c:scaling>
          <c:orientation val="minMax"/>
        </c:scaling>
        <c:delete val="0"/>
        <c:axPos val="l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8918629"/>
        <c:crosses val="autoZero"/>
        <c:auto val="1"/>
        <c:lblAlgn val="ctr"/>
        <c:lblOffset val="100"/>
        <c:noMultiLvlLbl val="0"/>
      </c:catAx>
      <c:valAx>
        <c:axId val="2891862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09740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 forceAA="0"/>
        <a:lstStyle/>
        <a:p>
          <a:pPr>
            <a:defRPr lang="zh-CN"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85000"/>
        </a:schemeClr>
      </a:solidFill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0" vertOverflow="ellipsis" vert="horz" wrap="square" anchor="ctr" anchorCtr="1" forceAA="0"/>
          <a:lstStyle/>
          <a:p>
            <a:pPr>
              <a:defRPr lang="zh-CN" sz="108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汉仪旗黑-55简" panose="00020600040101010101" charset="-128"/>
                <a:ea typeface="汉仪旗黑-55简" panose="00020600040101010101" charset="-128"/>
                <a:cs typeface="汉仪旗黑-55简" panose="00020600040101010101" charset="-128"/>
                <a:sym typeface="汉仪旗黑-55简" panose="00020600040101010101" charset="-128"/>
              </a:defRPr>
            </a:pPr>
            <a:r>
              <a:rPr sz="1080"/>
              <a:t>长三角地区报关、货代及跨境类企业数量比较</a:t>
            </a:r>
            <a:endParaRPr lang="en-US" altLang="zh-CN" sz="1080"/>
          </a:p>
        </c:rich>
      </c:tx>
      <c:layout>
        <c:manualLayout>
          <c:xMode val="edge"/>
          <c:yMode val="edge"/>
          <c:x val="0.0348213609212769"/>
          <c:y val="0.0719897257786741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8578521034753"/>
          <c:y val="0.282249173098126"/>
          <c:w val="0.833211392735824"/>
          <c:h val="0.59545755237045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[工作簿1.xlsx]Sheet1!$B$25</c:f>
              <c:strCache>
                <c:ptCount val="1"/>
                <c:pt idx="0">
                  <c:v>“跨境”</c:v>
                </c:pt>
              </c:strCache>
            </c:strRef>
          </c:tx>
          <c:spPr>
            <a:solidFill>
              <a:srgbClr val="FFBC3F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[工作簿1.xlsx]Sheet1!$A$26:$A$29</c:f>
              <c:strCache>
                <c:ptCount val="4"/>
                <c:pt idx="0">
                  <c:v>江苏</c:v>
                </c:pt>
                <c:pt idx="1">
                  <c:v>浙江</c:v>
                </c:pt>
                <c:pt idx="2">
                  <c:v>上海</c:v>
                </c:pt>
                <c:pt idx="3">
                  <c:v>安徽</c:v>
                </c:pt>
              </c:strCache>
            </c:strRef>
          </c:cat>
          <c:val>
            <c:numRef>
              <c:f>[工作簿1.xlsx]Sheet1!$B$26:$B$29</c:f>
              <c:numCache>
                <c:formatCode>General</c:formatCode>
                <c:ptCount val="4"/>
                <c:pt idx="0">
                  <c:v>1907</c:v>
                </c:pt>
                <c:pt idx="1">
                  <c:v>5822</c:v>
                </c:pt>
                <c:pt idx="2">
                  <c:v>308</c:v>
                </c:pt>
                <c:pt idx="3">
                  <c:v>10729</c:v>
                </c:pt>
              </c:numCache>
            </c:numRef>
          </c:val>
        </c:ser>
        <c:ser>
          <c:idx val="1"/>
          <c:order val="1"/>
          <c:tx>
            <c:strRef>
              <c:f>[工作簿1.xlsx]Sheet1!$C$25</c:f>
              <c:strCache>
                <c:ptCount val="1"/>
                <c:pt idx="0">
                  <c:v>“货代”</c:v>
                </c:pt>
              </c:strCache>
            </c:strRef>
          </c:tx>
          <c:spPr>
            <a:solidFill>
              <a:srgbClr val="35DB97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[工作簿1.xlsx]Sheet1!$A$26:$A$29</c:f>
              <c:strCache>
                <c:ptCount val="4"/>
                <c:pt idx="0">
                  <c:v>江苏</c:v>
                </c:pt>
                <c:pt idx="1">
                  <c:v>浙江</c:v>
                </c:pt>
                <c:pt idx="2">
                  <c:v>上海</c:v>
                </c:pt>
                <c:pt idx="3">
                  <c:v>安徽</c:v>
                </c:pt>
              </c:strCache>
            </c:strRef>
          </c:cat>
          <c:val>
            <c:numRef>
              <c:f>[工作簿1.xlsx]Sheet1!$C$26:$C$29</c:f>
              <c:numCache>
                <c:formatCode>General</c:formatCode>
                <c:ptCount val="4"/>
                <c:pt idx="0">
                  <c:v>200</c:v>
                </c:pt>
                <c:pt idx="1">
                  <c:v>260</c:v>
                </c:pt>
                <c:pt idx="2">
                  <c:v>209</c:v>
                </c:pt>
                <c:pt idx="3">
                  <c:v>29</c:v>
                </c:pt>
              </c:numCache>
            </c:numRef>
          </c:val>
        </c:ser>
        <c:ser>
          <c:idx val="2"/>
          <c:order val="2"/>
          <c:tx>
            <c:strRef>
              <c:f>[工作簿1.xlsx]Sheet1!$D$25</c:f>
              <c:strCache>
                <c:ptCount val="1"/>
                <c:pt idx="0">
                  <c:v>“报关”</c:v>
                </c:pt>
              </c:strCache>
            </c:strRef>
          </c:tx>
          <c:spPr>
            <a:blipFill rotWithShape="1">
              <a:blip xmlns:r="http://schemas.openxmlformats.org/officeDocument/2006/relationships" r:embed="rId3"/>
              <a:stretch>
                <a:fillRect/>
              </a:stretch>
            </a:blip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26A0FC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26A0FC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26A0FC"/>
              </a:solidFill>
              <a:ln>
                <a:noFill/>
              </a:ln>
              <a:effectLst/>
            </c:spPr>
          </c:dPt>
          <c:dLbls>
            <c:delete val="1"/>
          </c:dLbls>
          <c:cat>
            <c:strRef>
              <c:f>[工作簿1.xlsx]Sheet1!$A$26:$A$29</c:f>
              <c:strCache>
                <c:ptCount val="4"/>
                <c:pt idx="0">
                  <c:v>江苏</c:v>
                </c:pt>
                <c:pt idx="1">
                  <c:v>浙江</c:v>
                </c:pt>
                <c:pt idx="2">
                  <c:v>上海</c:v>
                </c:pt>
                <c:pt idx="3">
                  <c:v>安徽</c:v>
                </c:pt>
              </c:strCache>
            </c:strRef>
          </c:cat>
          <c:val>
            <c:numRef>
              <c:f>[工作簿1.xlsx]Sheet1!$D$26:$D$29</c:f>
              <c:numCache>
                <c:formatCode>General</c:formatCode>
                <c:ptCount val="4"/>
                <c:pt idx="0">
                  <c:v>15055</c:v>
                </c:pt>
                <c:pt idx="1">
                  <c:v>15644</c:v>
                </c:pt>
                <c:pt idx="2">
                  <c:v>11383</c:v>
                </c:pt>
                <c:pt idx="3">
                  <c:v>2553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3"/>
        <c:overlap val="-35"/>
        <c:axId val="565349533"/>
        <c:axId val="697268112"/>
      </c:barChart>
      <c:catAx>
        <c:axId val="565349533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汉仪旗黑-55简" panose="00020600040101010101" charset="-128"/>
                <a:ea typeface="汉仪旗黑-55简" panose="00020600040101010101" charset="-128"/>
                <a:cs typeface="汉仪旗黑-55简" panose="00020600040101010101" charset="-128"/>
                <a:sym typeface="汉仪旗黑-55简" panose="00020600040101010101" charset="-128"/>
              </a:defRPr>
            </a:pPr>
          </a:p>
        </c:txPr>
        <c:crossAx val="697268112"/>
        <c:crosses val="autoZero"/>
        <c:auto val="1"/>
        <c:lblAlgn val="ctr"/>
        <c:lblOffset val="100"/>
        <c:noMultiLvlLbl val="0"/>
      </c:catAx>
      <c:valAx>
        <c:axId val="6972681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ysClr val="window" lastClr="FFFFFF">
                  <a:lumMod val="95000"/>
                </a:sys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汉仪旗黑-55简" panose="00020600040101010101" charset="-128"/>
                <a:ea typeface="汉仪旗黑-55简" panose="00020600040101010101" charset="-128"/>
                <a:cs typeface="汉仪旗黑-55简" panose="00020600040101010101" charset="-128"/>
                <a:sym typeface="汉仪旗黑-55简" panose="00020600040101010101" charset="-128"/>
              </a:defRPr>
            </a:pPr>
          </a:p>
        </c:txPr>
        <c:crossAx val="56534953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</a:p>
        </c:txPr>
      </c:legendEntry>
      <c:legendEntry>
        <c:idx val="2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</a:p>
        </c:txPr>
      </c:legendEntry>
      <c:layout>
        <c:manualLayout>
          <c:xMode val="edge"/>
          <c:yMode val="edge"/>
          <c:x val="0.0363076431094541"/>
          <c:y val="0.16868709580178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 forceAA="0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汉仪旗黑-55简" panose="00020600040101010101" charset="-128"/>
              <a:ea typeface="汉仪旗黑-55简" panose="00020600040101010101" charset="-128"/>
              <a:cs typeface="汉仪旗黑-55简" panose="00020600040101010101" charset="-128"/>
              <a:sym typeface="汉仪旗黑-55简" panose="00020600040101010101" charset="-128"/>
            </a:defRPr>
          </a:pPr>
        </a:p>
      </c:txPr>
    </c:legend>
    <c:plotVisOnly val="1"/>
    <c:dispBlanksAs val="gap"/>
    <c:showDLblsOverMax val="0"/>
  </c:chart>
  <c:spPr>
    <a:solidFill>
      <a:sysClr val="window" lastClr="FFFFFF"/>
    </a:solidFill>
    <a:ln w="12700" cap="flat" cmpd="sng" algn="ctr">
      <a:noFill/>
      <a:prstDash val="solid"/>
      <a:round/>
    </a:ln>
    <a:effectLst/>
  </c:spPr>
  <c:txPr>
    <a:bodyPr/>
    <a:lstStyle/>
    <a:p>
      <a:pPr>
        <a:defRPr lang="zh-CN" sz="900">
          <a:solidFill>
            <a:schemeClr val="tx1">
              <a:lumMod val="65000"/>
              <a:lumOff val="35000"/>
            </a:schemeClr>
          </a:solidFill>
          <a:latin typeface="微软雅黑" panose="020B0503020204020204" charset="-122"/>
          <a:ea typeface="微软雅黑" panose="020B0503020204020204" charset="-122"/>
          <a:cs typeface="微软雅黑" panose="020B0503020204020204" charset="-122"/>
          <a:sym typeface="微软雅黑" panose="020B0503020204020204" charset="-122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_rels/themeOverride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11.1">
    <a:dk1>
      <a:srgbClr val="000000"/>
    </a:dk1>
    <a:lt1>
      <a:srgbClr val="FFFFFF"/>
    </a:lt1>
    <a:dk2>
      <a:srgbClr val="0C0E1F"/>
    </a:dk2>
    <a:lt2>
      <a:srgbClr val="FEFFFF"/>
    </a:lt2>
    <a:accent1>
      <a:srgbClr val="4F81FF"/>
    </a:accent1>
    <a:accent2>
      <a:srgbClr val="16CC8A"/>
    </a:accent2>
    <a:accent3>
      <a:srgbClr val="FFC619"/>
    </a:accent3>
    <a:accent4>
      <a:srgbClr val="FF8041"/>
    </a:accent4>
    <a:accent5>
      <a:srgbClr val="F95F5F"/>
    </a:accent5>
    <a:accent6>
      <a:srgbClr val="A15CFF"/>
    </a:accent6>
    <a:hlink>
      <a:srgbClr val="304FFE"/>
    </a:hlink>
    <a:folHlink>
      <a:srgbClr val="492067"/>
    </a:folHlink>
  </a:clrScheme>
  <a:fontScheme name="Office Classic 2">
    <a:majorFont>
      <a:latin typeface="Arial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16.1">
    <a:dk1>
      <a:srgbClr val="000000"/>
    </a:dk1>
    <a:lt1>
      <a:srgbClr val="FFFFFF"/>
    </a:lt1>
    <a:dk2>
      <a:srgbClr val="0F1423"/>
    </a:dk2>
    <a:lt2>
      <a:srgbClr val="FFFFFF"/>
    </a:lt2>
    <a:accent1>
      <a:srgbClr val="7262FD"/>
    </a:accent1>
    <a:accent2>
      <a:srgbClr val="FF6637"/>
    </a:accent2>
    <a:accent3>
      <a:srgbClr val="FF860F"/>
    </a:accent3>
    <a:accent4>
      <a:srgbClr val="FFB607"/>
    </a:accent4>
    <a:accent5>
      <a:srgbClr val="45CBF1"/>
    </a:accent5>
    <a:accent6>
      <a:srgbClr val="41DDAC"/>
    </a:accent6>
    <a:hlink>
      <a:srgbClr val="0563C1"/>
    </a:hlink>
    <a:folHlink>
      <a:srgbClr val="954D72"/>
    </a:folHlink>
  </a:clrScheme>
  <a:fontScheme name="Office Classic 2">
    <a:majorFont>
      <a:latin typeface="Arial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Essential">
    <a:dk1>
      <a:srgbClr val="000000"/>
    </a:dk1>
    <a:lt1>
      <a:srgbClr val="FFFFFF"/>
    </a:lt1>
    <a:dk2>
      <a:srgbClr val="D1282E"/>
    </a:dk2>
    <a:lt2>
      <a:srgbClr val="C8C8B1"/>
    </a:lt2>
    <a:accent1>
      <a:srgbClr val="7A7A7A"/>
    </a:accent1>
    <a:accent2>
      <a:srgbClr val="F5C201"/>
    </a:accent2>
    <a:accent3>
      <a:srgbClr val="526DB0"/>
    </a:accent3>
    <a:accent4>
      <a:srgbClr val="989AAC"/>
    </a:accent4>
    <a:accent5>
      <a:srgbClr val="DC5924"/>
    </a:accent5>
    <a:accent6>
      <a:srgbClr val="B4B392"/>
    </a:accent6>
    <a:hlink>
      <a:srgbClr val="CC9900"/>
    </a:hlink>
    <a:folHlink>
      <a:srgbClr val="969696"/>
    </a:folHlink>
  </a:clrScheme>
  <a:fontScheme name="NewsPrint">
    <a:majorFont>
      <a:latin typeface="Impact"/>
      <a:ea typeface=""/>
      <a:cs typeface=""/>
      <a:font script="Jpan" typeface="HGP創英角ｺﾞｼｯｸUB"/>
      <a:font script="Hang" typeface="HY견고딕"/>
      <a:font script="Hans" typeface="微软雅黑"/>
      <a:font script="Hant" typeface="微軟正黑體"/>
      <a:font script="Arab" typeface="Tahoma"/>
      <a:font script="Hebr" typeface="Tohoma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Times New Roman"/>
      <a:ea typeface=""/>
      <a:cs typeface=""/>
      <a:font script="Jpan" typeface="ＭＳ Ｐ明朝"/>
      <a:font script="Hang" typeface="바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inorFont>
  </a:fontScheme>
  <a:fmtScheme name="NewsPrint">
    <a:fillStyleLst>
      <a:solidFill>
        <a:schemeClr val="phClr"/>
      </a:solidFill>
      <a:gradFill rotWithShape="1">
        <a:gsLst>
          <a:gs pos="0">
            <a:schemeClr val="phClr">
              <a:tint val="37000"/>
              <a:hueMod val="100000"/>
              <a:satMod val="200000"/>
              <a:lumMod val="88000"/>
            </a:schemeClr>
          </a:gs>
          <a:gs pos="100000">
            <a:schemeClr val="phClr">
              <a:tint val="53000"/>
              <a:shade val="100000"/>
              <a:hueMod val="100000"/>
              <a:satMod val="350000"/>
              <a:lumMod val="79000"/>
            </a:schemeClr>
          </a:gs>
        </a:gsLst>
        <a:lin ang="5400000" scaled="1"/>
      </a:gradFill>
      <a:gradFill rotWithShape="1">
        <a:gsLst>
          <a:gs pos="0">
            <a:schemeClr val="phClr">
              <a:tint val="83000"/>
              <a:shade val="100000"/>
              <a:alpha val="100000"/>
              <a:hueMod val="100000"/>
              <a:satMod val="220000"/>
              <a:lumMod val="90000"/>
            </a:schemeClr>
          </a:gs>
          <a:gs pos="76000">
            <a:schemeClr val="phClr">
              <a:shade val="100000"/>
            </a:schemeClr>
          </a:gs>
          <a:gs pos="100000">
            <a:schemeClr val="phClr">
              <a:shade val="93000"/>
              <a:alpha val="100000"/>
              <a:satMod val="100000"/>
              <a:lumMod val="93000"/>
            </a:schemeClr>
          </a:gs>
        </a:gsLst>
        <a:path path="circle">
          <a:fillToRect l="15000" t="15000" r="100000" b="100000"/>
        </a:path>
      </a:gradFill>
    </a:fillStyleLst>
    <a:lnStyleLst>
      <a:ln w="15875" cap="flat" cmpd="sng" algn="ctr">
        <a:solidFill>
          <a:schemeClr val="phClr"/>
        </a:solidFill>
        <a:prstDash val="solid"/>
      </a:ln>
      <a:ln w="22225" cap="flat" cmpd="sng" algn="ctr">
        <a:solidFill>
          <a:schemeClr val="phClr"/>
        </a:solidFill>
        <a:prstDash val="solid"/>
      </a:ln>
      <a:ln w="34925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50800" dist="12700" dir="5280000" rotWithShape="0">
            <a:srgbClr val="000000">
              <a:alpha val="40000"/>
            </a:srgbClr>
          </a:outerShdw>
        </a:effectLst>
      </a:effectStyle>
      <a:effectStyle>
        <a:effectLst>
          <a:outerShdw blurRad="381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38100" dist="381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brightRoom" dir="tl"/>
        </a:scene3d>
        <a:sp3d contourW="12700">
          <a:bevelT w="31750" h="12700"/>
          <a:contourClr>
            <a:schemeClr val="phClr"/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93000"/>
            </a:schemeClr>
          </a:gs>
          <a:gs pos="100000">
            <a:schemeClr val="phClr">
              <a:shade val="55000"/>
            </a:schemeClr>
          </a:gs>
        </a:gsLst>
        <a:lin ang="5400000" scaled="1"/>
      </a:gradFill>
      <a:blipFill rotWithShape="1">
        <a:blip xmlns:r="http://schemas.openxmlformats.org/officeDocument/2006/relationships" r:embed="rId1">
          <a:duotone>
            <a:schemeClr val="phClr">
              <a:shade val="20000"/>
              <a:satMod val="350000"/>
              <a:lumMod val="125000"/>
            </a:schemeClr>
            <a:schemeClr val="phClr">
              <a:tint val="90000"/>
              <a:satMod val="250000"/>
            </a:schemeClr>
          </a:duotone>
        </a:blip>
        <a:stretch>
          <a:fillRect/>
        </a:stretch>
      </a:blip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12</Pages>
  <Words>5663</Words>
  <Characters>5780</Characters>
  <Lines>112</Lines>
  <Paragraphs>31</Paragraphs>
  <TotalTime>0</TotalTime>
  <ScaleCrop>false</ScaleCrop>
  <LinksUpToDate>false</LinksUpToDate>
  <CharactersWithSpaces>5783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2016-05-27T17:48:00Z</dcterms:created>
  <dc:creator>admin</dc:creator>
  <cp:lastModifiedBy>blueblack</cp:lastModifiedBy>
  <dcterms:modified xsi:type="dcterms:W3CDTF">2023-05-30T07:21:00Z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98C51B7A98876F2614F06864D1FC3065_43</vt:lpwstr>
  </property>
</Properties>
</file>