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8C34376">
      <w:pPr>
        <w:jc w:val="center"/>
        <w:rPr>
          <w:b/>
          <w:bCs/>
          <w:spacing w:val="-2"/>
          <w:sz w:val="31"/>
          <w:szCs w:val="31"/>
        </w:rPr>
      </w:pPr>
      <w:r>
        <w:rPr>
          <w:b/>
          <w:bCs/>
          <w:spacing w:val="-2"/>
          <w:sz w:val="31"/>
          <w:szCs w:val="31"/>
        </w:rPr>
        <w:t>省属高校国有资产管理绩效评价指标</w:t>
      </w:r>
      <w:bookmarkStart w:id="0" w:name="_GoBack"/>
      <w:bookmarkEnd w:id="0"/>
    </w:p>
    <w:tbl>
      <w:tblPr>
        <w:tblStyle w:val="5"/>
        <w:tblW w:w="9297" w:type="dxa"/>
        <w:tblInd w:w="15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34"/>
        <w:gridCol w:w="1060"/>
        <w:gridCol w:w="1324"/>
        <w:gridCol w:w="1674"/>
        <w:gridCol w:w="670"/>
        <w:gridCol w:w="4035"/>
      </w:tblGrid>
      <w:tr w14:paraId="6BA6188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8" w:hRule="atLeast"/>
        </w:trPr>
        <w:tc>
          <w:tcPr>
            <w:tcW w:w="534" w:type="dxa"/>
            <w:tcBorders>
              <w:top w:val="single" w:color="000000" w:sz="12" w:space="0"/>
              <w:left w:val="single" w:color="000000" w:sz="12" w:space="0"/>
            </w:tcBorders>
            <w:vAlign w:val="top"/>
          </w:tcPr>
          <w:p w14:paraId="0065021F">
            <w:pPr>
              <w:pStyle w:val="4"/>
              <w:spacing w:before="182" w:line="189" w:lineRule="auto"/>
              <w:ind w:left="88"/>
            </w:pPr>
            <w:r>
              <w:rPr>
                <w:spacing w:val="2"/>
              </w:rPr>
              <w:t>序号</w:t>
            </w:r>
          </w:p>
        </w:tc>
        <w:tc>
          <w:tcPr>
            <w:tcW w:w="1060" w:type="dxa"/>
            <w:tcBorders>
              <w:top w:val="single" w:color="000000" w:sz="12" w:space="0"/>
            </w:tcBorders>
            <w:vAlign w:val="top"/>
          </w:tcPr>
          <w:p w14:paraId="3314D243">
            <w:pPr>
              <w:pStyle w:val="4"/>
              <w:spacing w:before="183" w:line="189" w:lineRule="auto"/>
              <w:ind w:left="177"/>
            </w:pPr>
            <w:r>
              <w:rPr>
                <w:spacing w:val="3"/>
              </w:rPr>
              <w:t>一级指标</w:t>
            </w:r>
          </w:p>
        </w:tc>
        <w:tc>
          <w:tcPr>
            <w:tcW w:w="1324" w:type="dxa"/>
            <w:tcBorders>
              <w:top w:val="single" w:color="000000" w:sz="12" w:space="0"/>
            </w:tcBorders>
            <w:vAlign w:val="top"/>
          </w:tcPr>
          <w:p w14:paraId="6FD1A832">
            <w:pPr>
              <w:pStyle w:val="4"/>
              <w:spacing w:before="183" w:line="189" w:lineRule="auto"/>
              <w:ind w:left="313"/>
            </w:pPr>
            <w:r>
              <w:rPr>
                <w:spacing w:val="3"/>
              </w:rPr>
              <w:t>二级指标</w:t>
            </w:r>
          </w:p>
        </w:tc>
        <w:tc>
          <w:tcPr>
            <w:tcW w:w="1674" w:type="dxa"/>
            <w:tcBorders>
              <w:top w:val="single" w:color="000000" w:sz="12" w:space="0"/>
            </w:tcBorders>
            <w:vAlign w:val="top"/>
          </w:tcPr>
          <w:p w14:paraId="4984579B">
            <w:pPr>
              <w:pStyle w:val="4"/>
              <w:spacing w:before="183" w:line="188" w:lineRule="auto"/>
              <w:ind w:left="52"/>
            </w:pPr>
            <w:r>
              <w:rPr>
                <w:spacing w:val="4"/>
              </w:rPr>
              <w:t>指标解释与评价标准</w:t>
            </w:r>
          </w:p>
        </w:tc>
        <w:tc>
          <w:tcPr>
            <w:tcW w:w="670" w:type="dxa"/>
            <w:tcBorders>
              <w:top w:val="single" w:color="000000" w:sz="12" w:space="0"/>
            </w:tcBorders>
            <w:vAlign w:val="top"/>
          </w:tcPr>
          <w:p w14:paraId="1E1AFE52">
            <w:pPr>
              <w:pStyle w:val="4"/>
              <w:spacing w:before="183" w:line="188" w:lineRule="auto"/>
              <w:ind w:left="170"/>
            </w:pPr>
            <w:r>
              <w:t>分值</w:t>
            </w:r>
          </w:p>
        </w:tc>
        <w:tc>
          <w:tcPr>
            <w:tcW w:w="4035" w:type="dxa"/>
            <w:tcBorders>
              <w:top w:val="single" w:color="000000" w:sz="12" w:space="0"/>
              <w:right w:val="single" w:color="000000" w:sz="12" w:space="0"/>
            </w:tcBorders>
            <w:vAlign w:val="top"/>
          </w:tcPr>
          <w:p w14:paraId="35E0874B">
            <w:pPr>
              <w:pStyle w:val="4"/>
              <w:spacing w:before="183" w:line="188" w:lineRule="auto"/>
              <w:ind w:left="1677"/>
            </w:pPr>
            <w:r>
              <w:rPr>
                <w:spacing w:val="4"/>
              </w:rPr>
              <w:t>评分细则</w:t>
            </w:r>
          </w:p>
        </w:tc>
      </w:tr>
      <w:tr w14:paraId="1BCD0DF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534" w:type="dxa"/>
            <w:tcBorders>
              <w:left w:val="single" w:color="000000" w:sz="12" w:space="0"/>
            </w:tcBorders>
            <w:vAlign w:val="top"/>
          </w:tcPr>
          <w:p w14:paraId="3ACE09A5">
            <w:pPr>
              <w:pStyle w:val="4"/>
              <w:spacing w:before="261" w:line="163" w:lineRule="auto"/>
              <w:ind w:left="233"/>
            </w:pPr>
            <w:r>
              <w:t>1</w:t>
            </w:r>
          </w:p>
        </w:tc>
        <w:tc>
          <w:tcPr>
            <w:tcW w:w="1060" w:type="dxa"/>
            <w:vMerge w:val="restart"/>
            <w:tcBorders>
              <w:bottom w:val="nil"/>
            </w:tcBorders>
            <w:vAlign w:val="top"/>
          </w:tcPr>
          <w:p w14:paraId="0F5B4F62">
            <w:pPr>
              <w:spacing w:line="244" w:lineRule="auto"/>
              <w:rPr>
                <w:rFonts w:ascii="Arial"/>
                <w:sz w:val="21"/>
              </w:rPr>
            </w:pPr>
          </w:p>
          <w:p w14:paraId="01A4F829">
            <w:pPr>
              <w:spacing w:line="244" w:lineRule="auto"/>
              <w:rPr>
                <w:rFonts w:ascii="Arial"/>
                <w:sz w:val="21"/>
              </w:rPr>
            </w:pPr>
          </w:p>
          <w:p w14:paraId="1213D875">
            <w:pPr>
              <w:spacing w:line="244" w:lineRule="auto"/>
              <w:rPr>
                <w:rFonts w:ascii="Arial"/>
                <w:sz w:val="21"/>
              </w:rPr>
            </w:pPr>
          </w:p>
          <w:p w14:paraId="3CCDB989">
            <w:pPr>
              <w:spacing w:line="244" w:lineRule="auto"/>
              <w:rPr>
                <w:rFonts w:ascii="Arial"/>
                <w:sz w:val="21"/>
              </w:rPr>
            </w:pPr>
          </w:p>
          <w:p w14:paraId="3F5E32CA">
            <w:pPr>
              <w:spacing w:line="244" w:lineRule="auto"/>
              <w:rPr>
                <w:rFonts w:ascii="Arial"/>
                <w:sz w:val="21"/>
              </w:rPr>
            </w:pPr>
          </w:p>
          <w:p w14:paraId="27EEA9DF">
            <w:pPr>
              <w:spacing w:line="244" w:lineRule="auto"/>
              <w:rPr>
                <w:rFonts w:ascii="Arial"/>
                <w:sz w:val="21"/>
              </w:rPr>
            </w:pPr>
          </w:p>
          <w:p w14:paraId="7EA2D3C7">
            <w:pPr>
              <w:spacing w:line="244" w:lineRule="auto"/>
              <w:rPr>
                <w:rFonts w:ascii="Arial"/>
                <w:sz w:val="21"/>
              </w:rPr>
            </w:pPr>
          </w:p>
          <w:p w14:paraId="18A06A09">
            <w:pPr>
              <w:spacing w:line="244" w:lineRule="auto"/>
              <w:rPr>
                <w:rFonts w:ascii="Arial"/>
                <w:sz w:val="21"/>
              </w:rPr>
            </w:pPr>
          </w:p>
          <w:p w14:paraId="2ED56420">
            <w:pPr>
              <w:spacing w:line="244" w:lineRule="auto"/>
              <w:rPr>
                <w:rFonts w:ascii="Arial"/>
                <w:sz w:val="21"/>
              </w:rPr>
            </w:pPr>
          </w:p>
          <w:p w14:paraId="15C5A2CA">
            <w:pPr>
              <w:spacing w:line="244" w:lineRule="auto"/>
              <w:rPr>
                <w:rFonts w:ascii="Arial"/>
                <w:sz w:val="21"/>
              </w:rPr>
            </w:pPr>
          </w:p>
          <w:p w14:paraId="21660D0A">
            <w:pPr>
              <w:spacing w:line="244" w:lineRule="auto"/>
              <w:rPr>
                <w:rFonts w:ascii="Arial"/>
                <w:sz w:val="21"/>
              </w:rPr>
            </w:pPr>
          </w:p>
          <w:p w14:paraId="54E42DD1">
            <w:pPr>
              <w:spacing w:line="245" w:lineRule="auto"/>
              <w:rPr>
                <w:rFonts w:ascii="Arial"/>
                <w:sz w:val="21"/>
              </w:rPr>
            </w:pPr>
          </w:p>
          <w:p w14:paraId="36796DB2">
            <w:pPr>
              <w:spacing w:line="245" w:lineRule="auto"/>
              <w:rPr>
                <w:rFonts w:ascii="Arial"/>
                <w:sz w:val="21"/>
              </w:rPr>
            </w:pPr>
          </w:p>
          <w:p w14:paraId="4CB8BE52">
            <w:pPr>
              <w:spacing w:line="245" w:lineRule="auto"/>
              <w:rPr>
                <w:rFonts w:ascii="Arial"/>
                <w:sz w:val="21"/>
              </w:rPr>
            </w:pPr>
          </w:p>
          <w:p w14:paraId="680F0465">
            <w:pPr>
              <w:spacing w:line="245" w:lineRule="auto"/>
              <w:rPr>
                <w:rFonts w:ascii="Arial"/>
                <w:sz w:val="21"/>
              </w:rPr>
            </w:pPr>
          </w:p>
          <w:p w14:paraId="021A1DBB">
            <w:pPr>
              <w:spacing w:line="245" w:lineRule="auto"/>
              <w:rPr>
                <w:rFonts w:ascii="Arial"/>
                <w:sz w:val="21"/>
              </w:rPr>
            </w:pPr>
          </w:p>
          <w:p w14:paraId="0AF5A9C0">
            <w:pPr>
              <w:spacing w:line="245" w:lineRule="auto"/>
              <w:rPr>
                <w:rFonts w:ascii="Arial"/>
                <w:sz w:val="21"/>
              </w:rPr>
            </w:pPr>
          </w:p>
          <w:p w14:paraId="07D9ED95">
            <w:pPr>
              <w:spacing w:line="245" w:lineRule="auto"/>
              <w:rPr>
                <w:rFonts w:ascii="Arial"/>
                <w:sz w:val="21"/>
              </w:rPr>
            </w:pPr>
          </w:p>
          <w:p w14:paraId="3FFD6CA6">
            <w:pPr>
              <w:spacing w:line="245" w:lineRule="auto"/>
              <w:rPr>
                <w:rFonts w:ascii="Arial"/>
                <w:sz w:val="21"/>
              </w:rPr>
            </w:pPr>
          </w:p>
          <w:p w14:paraId="22B45775">
            <w:pPr>
              <w:spacing w:line="245" w:lineRule="auto"/>
              <w:rPr>
                <w:rFonts w:ascii="Arial"/>
                <w:sz w:val="21"/>
              </w:rPr>
            </w:pPr>
          </w:p>
          <w:p w14:paraId="3A6BE6A3">
            <w:pPr>
              <w:spacing w:line="245" w:lineRule="auto"/>
              <w:rPr>
                <w:rFonts w:ascii="Arial"/>
                <w:sz w:val="21"/>
              </w:rPr>
            </w:pPr>
          </w:p>
          <w:p w14:paraId="2FAC6465">
            <w:pPr>
              <w:spacing w:line="245" w:lineRule="auto"/>
              <w:rPr>
                <w:rFonts w:ascii="Arial"/>
                <w:sz w:val="21"/>
              </w:rPr>
            </w:pPr>
          </w:p>
          <w:p w14:paraId="411C0A6E">
            <w:pPr>
              <w:spacing w:line="245" w:lineRule="auto"/>
              <w:rPr>
                <w:rFonts w:ascii="Arial"/>
                <w:sz w:val="21"/>
              </w:rPr>
            </w:pPr>
          </w:p>
          <w:p w14:paraId="34BB26B8">
            <w:pPr>
              <w:spacing w:line="245" w:lineRule="auto"/>
              <w:rPr>
                <w:rFonts w:ascii="Arial"/>
                <w:sz w:val="21"/>
              </w:rPr>
            </w:pPr>
          </w:p>
          <w:p w14:paraId="1EC5F275">
            <w:pPr>
              <w:spacing w:line="245" w:lineRule="auto"/>
              <w:rPr>
                <w:rFonts w:ascii="Arial"/>
                <w:sz w:val="21"/>
              </w:rPr>
            </w:pPr>
          </w:p>
          <w:p w14:paraId="3A4E27A8">
            <w:pPr>
              <w:pStyle w:val="4"/>
              <w:spacing w:before="73" w:line="181" w:lineRule="auto"/>
              <w:ind w:left="180" w:right="175" w:hanging="6"/>
            </w:pPr>
            <w:r>
              <w:rPr>
                <w:spacing w:val="3"/>
              </w:rPr>
              <w:t>基础管理</w:t>
            </w:r>
            <w:r>
              <w:rPr>
                <w:spacing w:val="2"/>
              </w:rPr>
              <w:t xml:space="preserve"> </w:t>
            </w:r>
            <w:r>
              <w:rPr>
                <w:spacing w:val="-6"/>
              </w:rPr>
              <w:t>（29分）</w:t>
            </w:r>
          </w:p>
        </w:tc>
        <w:tc>
          <w:tcPr>
            <w:tcW w:w="1324" w:type="dxa"/>
            <w:vMerge w:val="restart"/>
            <w:tcBorders>
              <w:bottom w:val="nil"/>
            </w:tcBorders>
            <w:vAlign w:val="top"/>
          </w:tcPr>
          <w:p w14:paraId="47CFF78B">
            <w:pPr>
              <w:spacing w:line="252" w:lineRule="auto"/>
              <w:rPr>
                <w:rFonts w:ascii="Arial"/>
                <w:sz w:val="21"/>
              </w:rPr>
            </w:pPr>
          </w:p>
          <w:p w14:paraId="56979A0C">
            <w:pPr>
              <w:spacing w:line="253" w:lineRule="auto"/>
              <w:rPr>
                <w:rFonts w:ascii="Arial"/>
                <w:sz w:val="21"/>
              </w:rPr>
            </w:pPr>
          </w:p>
          <w:p w14:paraId="2E77C9DB">
            <w:pPr>
              <w:spacing w:line="253" w:lineRule="auto"/>
              <w:rPr>
                <w:rFonts w:ascii="Arial"/>
                <w:sz w:val="21"/>
              </w:rPr>
            </w:pPr>
          </w:p>
          <w:p w14:paraId="761C3659">
            <w:pPr>
              <w:spacing w:line="253" w:lineRule="auto"/>
              <w:rPr>
                <w:rFonts w:ascii="Arial"/>
                <w:sz w:val="21"/>
              </w:rPr>
            </w:pPr>
          </w:p>
          <w:p w14:paraId="0DADE2CA">
            <w:pPr>
              <w:spacing w:line="253" w:lineRule="auto"/>
              <w:rPr>
                <w:rFonts w:ascii="Arial"/>
                <w:sz w:val="21"/>
              </w:rPr>
            </w:pPr>
          </w:p>
          <w:p w14:paraId="43D68F84">
            <w:pPr>
              <w:spacing w:line="253" w:lineRule="auto"/>
              <w:rPr>
                <w:rFonts w:ascii="Arial"/>
                <w:sz w:val="21"/>
              </w:rPr>
            </w:pPr>
          </w:p>
          <w:p w14:paraId="0CF895DE">
            <w:pPr>
              <w:spacing w:line="253" w:lineRule="auto"/>
              <w:rPr>
                <w:rFonts w:ascii="Arial"/>
                <w:sz w:val="21"/>
              </w:rPr>
            </w:pPr>
          </w:p>
          <w:p w14:paraId="5F175013">
            <w:pPr>
              <w:pStyle w:val="4"/>
              <w:spacing w:before="73" w:line="189" w:lineRule="auto"/>
              <w:ind w:left="314"/>
            </w:pPr>
            <w:r>
              <w:rPr>
                <w:spacing w:val="2"/>
              </w:rPr>
              <w:t>管理体制</w:t>
            </w:r>
          </w:p>
        </w:tc>
        <w:tc>
          <w:tcPr>
            <w:tcW w:w="1674" w:type="dxa"/>
            <w:vMerge w:val="restart"/>
            <w:tcBorders>
              <w:bottom w:val="nil"/>
            </w:tcBorders>
            <w:vAlign w:val="top"/>
          </w:tcPr>
          <w:p w14:paraId="2B07708F">
            <w:pPr>
              <w:spacing w:line="267" w:lineRule="auto"/>
              <w:rPr>
                <w:rFonts w:ascii="Arial"/>
                <w:sz w:val="21"/>
              </w:rPr>
            </w:pPr>
          </w:p>
          <w:p w14:paraId="2723C049">
            <w:pPr>
              <w:spacing w:line="268" w:lineRule="auto"/>
              <w:rPr>
                <w:rFonts w:ascii="Arial"/>
                <w:sz w:val="21"/>
              </w:rPr>
            </w:pPr>
          </w:p>
          <w:p w14:paraId="393870A3">
            <w:pPr>
              <w:spacing w:line="268" w:lineRule="auto"/>
              <w:rPr>
                <w:rFonts w:ascii="Arial"/>
                <w:sz w:val="21"/>
              </w:rPr>
            </w:pPr>
          </w:p>
          <w:p w14:paraId="3263DC58">
            <w:pPr>
              <w:spacing w:line="268" w:lineRule="auto"/>
              <w:rPr>
                <w:rFonts w:ascii="Arial"/>
                <w:sz w:val="21"/>
              </w:rPr>
            </w:pPr>
          </w:p>
          <w:p w14:paraId="233E6AF5">
            <w:pPr>
              <w:spacing w:line="268" w:lineRule="auto"/>
              <w:rPr>
                <w:rFonts w:ascii="Arial"/>
                <w:sz w:val="21"/>
              </w:rPr>
            </w:pPr>
          </w:p>
          <w:p w14:paraId="6FC05CB2">
            <w:pPr>
              <w:pStyle w:val="4"/>
              <w:spacing w:before="73" w:line="178" w:lineRule="auto"/>
              <w:ind w:left="50"/>
              <w:jc w:val="both"/>
            </w:pPr>
            <w:r>
              <w:rPr>
                <w:spacing w:val="5"/>
              </w:rPr>
              <w:t>落实“第一责任人</w:t>
            </w:r>
            <w:r>
              <w:rPr>
                <w:spacing w:val="-19"/>
              </w:rPr>
              <w:t xml:space="preserve"> </w:t>
            </w:r>
            <w:r>
              <w:rPr>
                <w:spacing w:val="5"/>
              </w:rPr>
              <w:t>”</w:t>
            </w:r>
            <w:r>
              <w:t xml:space="preserve"> </w:t>
            </w:r>
            <w:r>
              <w:rPr>
                <w:spacing w:val="-3"/>
              </w:rPr>
              <w:t>制度</w:t>
            </w:r>
            <w:r>
              <w:rPr>
                <w:spacing w:val="-29"/>
              </w:rPr>
              <w:t xml:space="preserve"> </w:t>
            </w:r>
            <w:r>
              <w:rPr>
                <w:spacing w:val="-3"/>
              </w:rPr>
              <w:t>，健全“统一领</w:t>
            </w:r>
            <w:r>
              <w:t xml:space="preserve">   </w:t>
            </w:r>
            <w:r>
              <w:rPr>
                <w:spacing w:val="-1"/>
              </w:rPr>
              <w:t>导、归口管理、分级</w:t>
            </w:r>
            <w:r>
              <w:rPr>
                <w:spacing w:val="1"/>
              </w:rPr>
              <w:t xml:space="preserve">   </w:t>
            </w:r>
            <w:r>
              <w:rPr>
                <w:spacing w:val="-1"/>
              </w:rPr>
              <w:t>负责、责任到人</w:t>
            </w:r>
            <w:r>
              <w:rPr>
                <w:spacing w:val="-26"/>
              </w:rPr>
              <w:t xml:space="preserve"> </w:t>
            </w:r>
            <w:r>
              <w:rPr>
                <w:spacing w:val="-1"/>
              </w:rPr>
              <w:t>”的</w:t>
            </w:r>
          </w:p>
          <w:p w14:paraId="7B0B3CF4">
            <w:pPr>
              <w:pStyle w:val="4"/>
              <w:spacing w:line="188" w:lineRule="auto"/>
              <w:ind w:left="406"/>
            </w:pPr>
            <w:r>
              <w:rPr>
                <w:spacing w:val="2"/>
              </w:rPr>
              <w:t>管理机制。</w:t>
            </w:r>
          </w:p>
        </w:tc>
        <w:tc>
          <w:tcPr>
            <w:tcW w:w="670" w:type="dxa"/>
            <w:vMerge w:val="restart"/>
            <w:tcBorders>
              <w:bottom w:val="nil"/>
            </w:tcBorders>
            <w:vAlign w:val="top"/>
          </w:tcPr>
          <w:p w14:paraId="728A7184">
            <w:pPr>
              <w:spacing w:line="256" w:lineRule="auto"/>
              <w:rPr>
                <w:rFonts w:ascii="Arial"/>
                <w:sz w:val="21"/>
              </w:rPr>
            </w:pPr>
          </w:p>
          <w:p w14:paraId="55EED2CC">
            <w:pPr>
              <w:spacing w:line="256" w:lineRule="auto"/>
              <w:rPr>
                <w:rFonts w:ascii="Arial"/>
                <w:sz w:val="21"/>
              </w:rPr>
            </w:pPr>
          </w:p>
          <w:p w14:paraId="0B5DB706">
            <w:pPr>
              <w:spacing w:line="257" w:lineRule="auto"/>
              <w:rPr>
                <w:rFonts w:ascii="Arial"/>
                <w:sz w:val="21"/>
              </w:rPr>
            </w:pPr>
          </w:p>
          <w:p w14:paraId="59646806">
            <w:pPr>
              <w:spacing w:line="257" w:lineRule="auto"/>
              <w:rPr>
                <w:rFonts w:ascii="Arial"/>
                <w:sz w:val="21"/>
              </w:rPr>
            </w:pPr>
          </w:p>
          <w:p w14:paraId="5299CE8A">
            <w:pPr>
              <w:spacing w:line="257" w:lineRule="auto"/>
              <w:rPr>
                <w:rFonts w:ascii="Arial"/>
                <w:sz w:val="21"/>
              </w:rPr>
            </w:pPr>
          </w:p>
          <w:p w14:paraId="3B8A8AFA">
            <w:pPr>
              <w:spacing w:line="257" w:lineRule="auto"/>
              <w:rPr>
                <w:rFonts w:ascii="Arial"/>
                <w:sz w:val="21"/>
              </w:rPr>
            </w:pPr>
          </w:p>
          <w:p w14:paraId="638F6981">
            <w:pPr>
              <w:spacing w:line="257" w:lineRule="auto"/>
              <w:rPr>
                <w:rFonts w:ascii="Arial"/>
                <w:sz w:val="21"/>
              </w:rPr>
            </w:pPr>
          </w:p>
          <w:p w14:paraId="61D99D1E">
            <w:pPr>
              <w:pStyle w:val="4"/>
              <w:spacing w:before="73" w:line="162" w:lineRule="auto"/>
              <w:ind w:left="300"/>
            </w:pPr>
            <w:r>
              <w:t>8</w:t>
            </w:r>
          </w:p>
        </w:tc>
        <w:tc>
          <w:tcPr>
            <w:tcW w:w="4035" w:type="dxa"/>
            <w:tcBorders>
              <w:right w:val="single" w:color="000000" w:sz="12" w:space="0"/>
            </w:tcBorders>
            <w:vAlign w:val="top"/>
          </w:tcPr>
          <w:p w14:paraId="4DC6400C">
            <w:pPr>
              <w:pStyle w:val="4"/>
              <w:spacing w:before="125" w:line="181" w:lineRule="auto"/>
              <w:ind w:left="40" w:right="114" w:hanging="5"/>
            </w:pPr>
            <w:r>
              <w:rPr>
                <w:spacing w:val="5"/>
              </w:rPr>
              <w:t>成立以校长（院长）为组长的学校国有资产管理委</w:t>
            </w:r>
            <w:r>
              <w:rPr>
                <w:spacing w:val="11"/>
              </w:rPr>
              <w:t xml:space="preserve"> </w:t>
            </w:r>
            <w:r>
              <w:rPr>
                <w:spacing w:val="9"/>
              </w:rPr>
              <w:t>员会(1分)</w:t>
            </w:r>
          </w:p>
        </w:tc>
      </w:tr>
      <w:tr w14:paraId="3F7176F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534" w:type="dxa"/>
            <w:tcBorders>
              <w:left w:val="single" w:color="000000" w:sz="12" w:space="0"/>
            </w:tcBorders>
            <w:vAlign w:val="top"/>
          </w:tcPr>
          <w:p w14:paraId="0F395DC3">
            <w:pPr>
              <w:pStyle w:val="4"/>
              <w:spacing w:before="262" w:line="163" w:lineRule="auto"/>
              <w:ind w:left="222"/>
            </w:pPr>
            <w:r>
              <w:t>2</w:t>
            </w:r>
          </w:p>
        </w:tc>
        <w:tc>
          <w:tcPr>
            <w:tcW w:w="1060" w:type="dxa"/>
            <w:vMerge w:val="continue"/>
            <w:tcBorders>
              <w:top w:val="nil"/>
              <w:bottom w:val="nil"/>
            </w:tcBorders>
            <w:vAlign w:val="top"/>
          </w:tcPr>
          <w:p w14:paraId="0701A6EA">
            <w:pPr>
              <w:rPr>
                <w:rFonts w:ascii="Arial"/>
                <w:sz w:val="21"/>
              </w:rPr>
            </w:pPr>
          </w:p>
        </w:tc>
        <w:tc>
          <w:tcPr>
            <w:tcW w:w="1324" w:type="dxa"/>
            <w:vMerge w:val="continue"/>
            <w:tcBorders>
              <w:top w:val="nil"/>
              <w:bottom w:val="nil"/>
            </w:tcBorders>
            <w:vAlign w:val="top"/>
          </w:tcPr>
          <w:p w14:paraId="7D19C428">
            <w:pPr>
              <w:rPr>
                <w:rFonts w:ascii="Arial"/>
                <w:sz w:val="21"/>
              </w:rPr>
            </w:pPr>
          </w:p>
        </w:tc>
        <w:tc>
          <w:tcPr>
            <w:tcW w:w="1674" w:type="dxa"/>
            <w:vMerge w:val="continue"/>
            <w:tcBorders>
              <w:top w:val="nil"/>
              <w:bottom w:val="nil"/>
            </w:tcBorders>
            <w:vAlign w:val="top"/>
          </w:tcPr>
          <w:p w14:paraId="21B34250">
            <w:pPr>
              <w:rPr>
                <w:rFonts w:ascii="Arial"/>
                <w:sz w:val="21"/>
              </w:rPr>
            </w:pPr>
          </w:p>
        </w:tc>
        <w:tc>
          <w:tcPr>
            <w:tcW w:w="670" w:type="dxa"/>
            <w:vMerge w:val="continue"/>
            <w:tcBorders>
              <w:top w:val="nil"/>
              <w:bottom w:val="nil"/>
            </w:tcBorders>
            <w:vAlign w:val="top"/>
          </w:tcPr>
          <w:p w14:paraId="5FBBF64C">
            <w:pPr>
              <w:rPr>
                <w:rFonts w:ascii="Arial"/>
                <w:sz w:val="21"/>
              </w:rPr>
            </w:pPr>
          </w:p>
        </w:tc>
        <w:tc>
          <w:tcPr>
            <w:tcW w:w="4035" w:type="dxa"/>
            <w:tcBorders>
              <w:right w:val="single" w:color="000000" w:sz="12" w:space="0"/>
            </w:tcBorders>
            <w:vAlign w:val="top"/>
          </w:tcPr>
          <w:p w14:paraId="3BA21658">
            <w:pPr>
              <w:pStyle w:val="4"/>
              <w:spacing w:before="126" w:line="181" w:lineRule="auto"/>
              <w:ind w:left="35" w:right="114" w:hanging="3"/>
            </w:pPr>
            <w:r>
              <w:rPr>
                <w:spacing w:val="5"/>
              </w:rPr>
              <w:t>将国有资产管理委员会办公室设在校国有资产管理</w:t>
            </w:r>
            <w:r>
              <w:rPr>
                <w:spacing w:val="13"/>
                <w:w w:val="101"/>
              </w:rPr>
              <w:t xml:space="preserve"> </w:t>
            </w:r>
            <w:r>
              <w:rPr>
                <w:spacing w:val="9"/>
              </w:rPr>
              <w:t>部门(1分)</w:t>
            </w:r>
          </w:p>
        </w:tc>
      </w:tr>
      <w:tr w14:paraId="47B69AD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534" w:type="dxa"/>
            <w:tcBorders>
              <w:left w:val="single" w:color="000000" w:sz="12" w:space="0"/>
            </w:tcBorders>
            <w:vAlign w:val="top"/>
          </w:tcPr>
          <w:p w14:paraId="3706BAFF">
            <w:pPr>
              <w:pStyle w:val="4"/>
              <w:spacing w:before="263" w:line="162" w:lineRule="auto"/>
              <w:ind w:left="224"/>
            </w:pPr>
            <w:r>
              <w:t>3</w:t>
            </w:r>
          </w:p>
        </w:tc>
        <w:tc>
          <w:tcPr>
            <w:tcW w:w="1060" w:type="dxa"/>
            <w:vMerge w:val="continue"/>
            <w:tcBorders>
              <w:top w:val="nil"/>
              <w:bottom w:val="nil"/>
            </w:tcBorders>
            <w:vAlign w:val="top"/>
          </w:tcPr>
          <w:p w14:paraId="50C21C7B">
            <w:pPr>
              <w:rPr>
                <w:rFonts w:ascii="Arial"/>
                <w:sz w:val="21"/>
              </w:rPr>
            </w:pPr>
          </w:p>
        </w:tc>
        <w:tc>
          <w:tcPr>
            <w:tcW w:w="1324" w:type="dxa"/>
            <w:vMerge w:val="continue"/>
            <w:tcBorders>
              <w:top w:val="nil"/>
              <w:bottom w:val="nil"/>
            </w:tcBorders>
            <w:vAlign w:val="top"/>
          </w:tcPr>
          <w:p w14:paraId="0CD6C22C">
            <w:pPr>
              <w:rPr>
                <w:rFonts w:ascii="Arial"/>
                <w:sz w:val="21"/>
              </w:rPr>
            </w:pPr>
          </w:p>
        </w:tc>
        <w:tc>
          <w:tcPr>
            <w:tcW w:w="1674" w:type="dxa"/>
            <w:vMerge w:val="continue"/>
            <w:tcBorders>
              <w:top w:val="nil"/>
              <w:bottom w:val="nil"/>
            </w:tcBorders>
            <w:vAlign w:val="top"/>
          </w:tcPr>
          <w:p w14:paraId="353AE99B">
            <w:pPr>
              <w:rPr>
                <w:rFonts w:ascii="Arial"/>
                <w:sz w:val="21"/>
              </w:rPr>
            </w:pPr>
          </w:p>
        </w:tc>
        <w:tc>
          <w:tcPr>
            <w:tcW w:w="670" w:type="dxa"/>
            <w:vMerge w:val="continue"/>
            <w:tcBorders>
              <w:top w:val="nil"/>
              <w:bottom w:val="nil"/>
            </w:tcBorders>
            <w:vAlign w:val="top"/>
          </w:tcPr>
          <w:p w14:paraId="41C6822C">
            <w:pPr>
              <w:rPr>
                <w:rFonts w:ascii="Arial"/>
                <w:sz w:val="21"/>
              </w:rPr>
            </w:pPr>
          </w:p>
        </w:tc>
        <w:tc>
          <w:tcPr>
            <w:tcW w:w="4035" w:type="dxa"/>
            <w:tcBorders>
              <w:right w:val="single" w:color="000000" w:sz="12" w:space="0"/>
            </w:tcBorders>
            <w:vAlign w:val="top"/>
          </w:tcPr>
          <w:p w14:paraId="110F1D1B">
            <w:pPr>
              <w:pStyle w:val="4"/>
              <w:spacing w:before="127" w:line="181" w:lineRule="auto"/>
              <w:ind w:left="35" w:right="113" w:hanging="3"/>
            </w:pPr>
            <w:r>
              <w:rPr>
                <w:spacing w:val="5"/>
              </w:rPr>
              <w:t>将国有资产管理事项纳入学校“三重一大</w:t>
            </w:r>
            <w:r>
              <w:rPr>
                <w:spacing w:val="-26"/>
              </w:rPr>
              <w:t xml:space="preserve"> </w:t>
            </w:r>
            <w:r>
              <w:rPr>
                <w:spacing w:val="5"/>
              </w:rPr>
              <w:t>”事项</w:t>
            </w:r>
            <w:r>
              <w:rPr>
                <w:spacing w:val="4"/>
              </w:rPr>
              <w:t>(1</w:t>
            </w:r>
            <w:r>
              <w:t xml:space="preserve"> </w:t>
            </w:r>
            <w:r>
              <w:rPr>
                <w:spacing w:val="13"/>
              </w:rPr>
              <w:t>分)</w:t>
            </w:r>
          </w:p>
        </w:tc>
      </w:tr>
      <w:tr w14:paraId="2960A6F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534" w:type="dxa"/>
            <w:tcBorders>
              <w:left w:val="single" w:color="000000" w:sz="12" w:space="0"/>
            </w:tcBorders>
            <w:vAlign w:val="top"/>
          </w:tcPr>
          <w:p w14:paraId="7CF09F13">
            <w:pPr>
              <w:pStyle w:val="4"/>
              <w:spacing w:before="264" w:line="163" w:lineRule="auto"/>
              <w:ind w:left="220"/>
            </w:pPr>
            <w:r>
              <w:t>4</w:t>
            </w:r>
          </w:p>
        </w:tc>
        <w:tc>
          <w:tcPr>
            <w:tcW w:w="1060" w:type="dxa"/>
            <w:vMerge w:val="continue"/>
            <w:tcBorders>
              <w:top w:val="nil"/>
              <w:bottom w:val="nil"/>
            </w:tcBorders>
            <w:vAlign w:val="top"/>
          </w:tcPr>
          <w:p w14:paraId="40680E6B">
            <w:pPr>
              <w:rPr>
                <w:rFonts w:ascii="Arial"/>
                <w:sz w:val="21"/>
              </w:rPr>
            </w:pPr>
          </w:p>
        </w:tc>
        <w:tc>
          <w:tcPr>
            <w:tcW w:w="1324" w:type="dxa"/>
            <w:vMerge w:val="continue"/>
            <w:tcBorders>
              <w:top w:val="nil"/>
              <w:bottom w:val="nil"/>
            </w:tcBorders>
            <w:vAlign w:val="top"/>
          </w:tcPr>
          <w:p w14:paraId="60FB5ADF">
            <w:pPr>
              <w:rPr>
                <w:rFonts w:ascii="Arial"/>
                <w:sz w:val="21"/>
              </w:rPr>
            </w:pPr>
          </w:p>
        </w:tc>
        <w:tc>
          <w:tcPr>
            <w:tcW w:w="1674" w:type="dxa"/>
            <w:vMerge w:val="continue"/>
            <w:tcBorders>
              <w:top w:val="nil"/>
              <w:bottom w:val="nil"/>
            </w:tcBorders>
            <w:vAlign w:val="top"/>
          </w:tcPr>
          <w:p w14:paraId="4D752BE8">
            <w:pPr>
              <w:rPr>
                <w:rFonts w:ascii="Arial"/>
                <w:sz w:val="21"/>
              </w:rPr>
            </w:pPr>
          </w:p>
        </w:tc>
        <w:tc>
          <w:tcPr>
            <w:tcW w:w="670" w:type="dxa"/>
            <w:vMerge w:val="continue"/>
            <w:tcBorders>
              <w:top w:val="nil"/>
              <w:bottom w:val="nil"/>
            </w:tcBorders>
            <w:vAlign w:val="top"/>
          </w:tcPr>
          <w:p w14:paraId="04BCAB1D">
            <w:pPr>
              <w:rPr>
                <w:rFonts w:ascii="Arial"/>
                <w:sz w:val="21"/>
              </w:rPr>
            </w:pPr>
          </w:p>
        </w:tc>
        <w:tc>
          <w:tcPr>
            <w:tcW w:w="4035" w:type="dxa"/>
            <w:tcBorders>
              <w:right w:val="single" w:color="000000" w:sz="12" w:space="0"/>
            </w:tcBorders>
            <w:vAlign w:val="top"/>
          </w:tcPr>
          <w:p w14:paraId="10BD49DA">
            <w:pPr>
              <w:pStyle w:val="4"/>
              <w:spacing w:before="236" w:line="184" w:lineRule="auto"/>
              <w:ind w:left="32"/>
            </w:pPr>
            <w:r>
              <w:rPr>
                <w:spacing w:val="7"/>
              </w:rPr>
              <w:t>将国有资产管理纳入学校年度工作要点和总结(1分)</w:t>
            </w:r>
          </w:p>
        </w:tc>
      </w:tr>
      <w:tr w14:paraId="486D995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534" w:type="dxa"/>
            <w:tcBorders>
              <w:left w:val="single" w:color="000000" w:sz="12" w:space="0"/>
            </w:tcBorders>
            <w:vAlign w:val="top"/>
          </w:tcPr>
          <w:p w14:paraId="212B294A">
            <w:pPr>
              <w:pStyle w:val="4"/>
              <w:spacing w:before="266" w:line="161" w:lineRule="auto"/>
              <w:ind w:left="224"/>
            </w:pPr>
            <w:r>
              <w:t>5</w:t>
            </w:r>
          </w:p>
        </w:tc>
        <w:tc>
          <w:tcPr>
            <w:tcW w:w="1060" w:type="dxa"/>
            <w:vMerge w:val="continue"/>
            <w:tcBorders>
              <w:top w:val="nil"/>
              <w:bottom w:val="nil"/>
            </w:tcBorders>
            <w:vAlign w:val="top"/>
          </w:tcPr>
          <w:p w14:paraId="66EEA012">
            <w:pPr>
              <w:rPr>
                <w:rFonts w:ascii="Arial"/>
                <w:sz w:val="21"/>
              </w:rPr>
            </w:pPr>
          </w:p>
        </w:tc>
        <w:tc>
          <w:tcPr>
            <w:tcW w:w="1324" w:type="dxa"/>
            <w:vMerge w:val="continue"/>
            <w:tcBorders>
              <w:top w:val="nil"/>
              <w:bottom w:val="nil"/>
            </w:tcBorders>
            <w:vAlign w:val="top"/>
          </w:tcPr>
          <w:p w14:paraId="5D9124A7">
            <w:pPr>
              <w:rPr>
                <w:rFonts w:ascii="Arial"/>
                <w:sz w:val="21"/>
              </w:rPr>
            </w:pPr>
          </w:p>
        </w:tc>
        <w:tc>
          <w:tcPr>
            <w:tcW w:w="1674" w:type="dxa"/>
            <w:vMerge w:val="continue"/>
            <w:tcBorders>
              <w:top w:val="nil"/>
              <w:bottom w:val="nil"/>
            </w:tcBorders>
            <w:vAlign w:val="top"/>
          </w:tcPr>
          <w:p w14:paraId="42878711">
            <w:pPr>
              <w:rPr>
                <w:rFonts w:ascii="Arial"/>
                <w:sz w:val="21"/>
              </w:rPr>
            </w:pPr>
          </w:p>
        </w:tc>
        <w:tc>
          <w:tcPr>
            <w:tcW w:w="670" w:type="dxa"/>
            <w:vMerge w:val="continue"/>
            <w:tcBorders>
              <w:top w:val="nil"/>
              <w:bottom w:val="nil"/>
            </w:tcBorders>
            <w:vAlign w:val="top"/>
          </w:tcPr>
          <w:p w14:paraId="70306D3D">
            <w:pPr>
              <w:rPr>
                <w:rFonts w:ascii="Arial"/>
                <w:sz w:val="21"/>
              </w:rPr>
            </w:pPr>
          </w:p>
        </w:tc>
        <w:tc>
          <w:tcPr>
            <w:tcW w:w="4035" w:type="dxa"/>
            <w:tcBorders>
              <w:right w:val="single" w:color="000000" w:sz="12" w:space="0"/>
            </w:tcBorders>
            <w:vAlign w:val="top"/>
          </w:tcPr>
          <w:p w14:paraId="5C591E21">
            <w:pPr>
              <w:pStyle w:val="4"/>
              <w:spacing w:before="237" w:line="184" w:lineRule="auto"/>
              <w:ind w:left="37"/>
            </w:pPr>
            <w:r>
              <w:rPr>
                <w:spacing w:val="7"/>
              </w:rPr>
              <w:t>学校所有国有资产均实现了国资部门归口管理</w:t>
            </w:r>
            <w:r>
              <w:rPr>
                <w:spacing w:val="6"/>
              </w:rPr>
              <w:t>(2分)</w:t>
            </w:r>
          </w:p>
        </w:tc>
      </w:tr>
      <w:tr w14:paraId="28E29E5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534" w:type="dxa"/>
            <w:tcBorders>
              <w:left w:val="single" w:color="000000" w:sz="12" w:space="0"/>
            </w:tcBorders>
            <w:vAlign w:val="top"/>
          </w:tcPr>
          <w:p w14:paraId="7AEE354A">
            <w:pPr>
              <w:pStyle w:val="4"/>
              <w:spacing w:before="266" w:line="162" w:lineRule="auto"/>
              <w:ind w:left="222"/>
            </w:pPr>
            <w:r>
              <w:t>6</w:t>
            </w:r>
          </w:p>
        </w:tc>
        <w:tc>
          <w:tcPr>
            <w:tcW w:w="1060" w:type="dxa"/>
            <w:vMerge w:val="continue"/>
            <w:tcBorders>
              <w:top w:val="nil"/>
              <w:bottom w:val="nil"/>
            </w:tcBorders>
            <w:vAlign w:val="top"/>
          </w:tcPr>
          <w:p w14:paraId="25275BC4">
            <w:pPr>
              <w:rPr>
                <w:rFonts w:ascii="Arial"/>
                <w:sz w:val="21"/>
              </w:rPr>
            </w:pPr>
          </w:p>
        </w:tc>
        <w:tc>
          <w:tcPr>
            <w:tcW w:w="1324" w:type="dxa"/>
            <w:vMerge w:val="continue"/>
            <w:tcBorders>
              <w:top w:val="nil"/>
            </w:tcBorders>
            <w:vAlign w:val="top"/>
          </w:tcPr>
          <w:p w14:paraId="126A8FA6">
            <w:pPr>
              <w:rPr>
                <w:rFonts w:ascii="Arial"/>
                <w:sz w:val="21"/>
              </w:rPr>
            </w:pPr>
          </w:p>
        </w:tc>
        <w:tc>
          <w:tcPr>
            <w:tcW w:w="1674" w:type="dxa"/>
            <w:vMerge w:val="continue"/>
            <w:tcBorders>
              <w:top w:val="nil"/>
            </w:tcBorders>
            <w:vAlign w:val="top"/>
          </w:tcPr>
          <w:p w14:paraId="29D5582A">
            <w:pPr>
              <w:rPr>
                <w:rFonts w:ascii="Arial"/>
                <w:sz w:val="21"/>
              </w:rPr>
            </w:pPr>
          </w:p>
        </w:tc>
        <w:tc>
          <w:tcPr>
            <w:tcW w:w="670" w:type="dxa"/>
            <w:vMerge w:val="continue"/>
            <w:tcBorders>
              <w:top w:val="nil"/>
            </w:tcBorders>
            <w:vAlign w:val="top"/>
          </w:tcPr>
          <w:p w14:paraId="1B80A8BF">
            <w:pPr>
              <w:rPr>
                <w:rFonts w:ascii="Arial"/>
                <w:sz w:val="21"/>
              </w:rPr>
            </w:pPr>
          </w:p>
        </w:tc>
        <w:tc>
          <w:tcPr>
            <w:tcW w:w="4035" w:type="dxa"/>
            <w:tcBorders>
              <w:right w:val="single" w:color="000000" w:sz="12" w:space="0"/>
            </w:tcBorders>
            <w:vAlign w:val="top"/>
          </w:tcPr>
          <w:p w14:paraId="57E78277">
            <w:pPr>
              <w:pStyle w:val="4"/>
              <w:spacing w:before="238" w:line="184" w:lineRule="auto"/>
              <w:ind w:left="35"/>
            </w:pPr>
            <w:r>
              <w:rPr>
                <w:spacing w:val="7"/>
              </w:rPr>
              <w:t>落实二级单位和所属企业国有资产管理职责(2分)</w:t>
            </w:r>
          </w:p>
        </w:tc>
      </w:tr>
      <w:tr w14:paraId="43FB76C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534" w:type="dxa"/>
            <w:tcBorders>
              <w:left w:val="single" w:color="000000" w:sz="12" w:space="0"/>
            </w:tcBorders>
            <w:vAlign w:val="top"/>
          </w:tcPr>
          <w:p w14:paraId="24A44ED5">
            <w:pPr>
              <w:pStyle w:val="4"/>
              <w:spacing w:before="268" w:line="163" w:lineRule="auto"/>
              <w:ind w:left="224"/>
            </w:pPr>
            <w:r>
              <w:t>7</w:t>
            </w:r>
          </w:p>
        </w:tc>
        <w:tc>
          <w:tcPr>
            <w:tcW w:w="1060" w:type="dxa"/>
            <w:vMerge w:val="continue"/>
            <w:tcBorders>
              <w:top w:val="nil"/>
              <w:bottom w:val="nil"/>
            </w:tcBorders>
            <w:vAlign w:val="top"/>
          </w:tcPr>
          <w:p w14:paraId="6A0D477E">
            <w:pPr>
              <w:rPr>
                <w:rFonts w:ascii="Arial"/>
                <w:sz w:val="21"/>
              </w:rPr>
            </w:pPr>
          </w:p>
        </w:tc>
        <w:tc>
          <w:tcPr>
            <w:tcW w:w="1324" w:type="dxa"/>
            <w:vMerge w:val="restart"/>
            <w:tcBorders>
              <w:bottom w:val="nil"/>
            </w:tcBorders>
            <w:vAlign w:val="top"/>
          </w:tcPr>
          <w:p w14:paraId="5A2CADDC">
            <w:pPr>
              <w:spacing w:line="282" w:lineRule="auto"/>
              <w:rPr>
                <w:rFonts w:ascii="Arial"/>
                <w:sz w:val="21"/>
              </w:rPr>
            </w:pPr>
          </w:p>
          <w:p w14:paraId="6029ADF5">
            <w:pPr>
              <w:spacing w:line="283" w:lineRule="auto"/>
              <w:rPr>
                <w:rFonts w:ascii="Arial"/>
                <w:sz w:val="21"/>
              </w:rPr>
            </w:pPr>
          </w:p>
          <w:p w14:paraId="1E26F8FB">
            <w:pPr>
              <w:spacing w:line="283" w:lineRule="auto"/>
              <w:rPr>
                <w:rFonts w:ascii="Arial"/>
                <w:sz w:val="21"/>
              </w:rPr>
            </w:pPr>
          </w:p>
          <w:p w14:paraId="5C5E7B1D">
            <w:pPr>
              <w:spacing w:line="283" w:lineRule="auto"/>
              <w:rPr>
                <w:rFonts w:ascii="Arial"/>
                <w:sz w:val="21"/>
              </w:rPr>
            </w:pPr>
          </w:p>
          <w:p w14:paraId="137606B6">
            <w:pPr>
              <w:pStyle w:val="4"/>
              <w:spacing w:before="73" w:line="189" w:lineRule="auto"/>
              <w:ind w:left="314"/>
            </w:pPr>
            <w:r>
              <w:rPr>
                <w:spacing w:val="2"/>
              </w:rPr>
              <w:t>管理制度</w:t>
            </w:r>
          </w:p>
        </w:tc>
        <w:tc>
          <w:tcPr>
            <w:tcW w:w="1674" w:type="dxa"/>
            <w:vMerge w:val="restart"/>
            <w:tcBorders>
              <w:bottom w:val="nil"/>
            </w:tcBorders>
            <w:vAlign w:val="top"/>
          </w:tcPr>
          <w:p w14:paraId="545D2AF9">
            <w:pPr>
              <w:spacing w:line="305" w:lineRule="auto"/>
              <w:rPr>
                <w:rFonts w:ascii="Arial"/>
                <w:sz w:val="21"/>
              </w:rPr>
            </w:pPr>
          </w:p>
          <w:p w14:paraId="6DCA2A92">
            <w:pPr>
              <w:spacing w:line="305" w:lineRule="auto"/>
              <w:rPr>
                <w:rFonts w:ascii="Arial"/>
                <w:sz w:val="21"/>
              </w:rPr>
            </w:pPr>
          </w:p>
          <w:p w14:paraId="504891A3">
            <w:pPr>
              <w:spacing w:line="306" w:lineRule="auto"/>
              <w:rPr>
                <w:rFonts w:ascii="Arial"/>
                <w:sz w:val="21"/>
              </w:rPr>
            </w:pPr>
          </w:p>
          <w:p w14:paraId="5FCA1FE1">
            <w:pPr>
              <w:pStyle w:val="4"/>
              <w:spacing w:before="73" w:line="178" w:lineRule="auto"/>
              <w:ind w:left="52"/>
            </w:pPr>
            <w:r>
              <w:rPr>
                <w:spacing w:val="4"/>
              </w:rPr>
              <w:t>建立高校资产管理制</w:t>
            </w:r>
          </w:p>
          <w:p w14:paraId="7019B4D2">
            <w:pPr>
              <w:pStyle w:val="4"/>
              <w:spacing w:before="2" w:line="182" w:lineRule="auto"/>
              <w:ind w:left="229" w:right="33" w:hanging="180"/>
            </w:pPr>
            <w:r>
              <w:rPr>
                <w:spacing w:val="2"/>
              </w:rPr>
              <w:t>度</w:t>
            </w:r>
            <w:r>
              <w:rPr>
                <w:spacing w:val="-24"/>
              </w:rPr>
              <w:t xml:space="preserve"> </w:t>
            </w:r>
            <w:r>
              <w:rPr>
                <w:spacing w:val="2"/>
              </w:rPr>
              <w:t>，将国有资产纳入</w:t>
            </w:r>
            <w:r>
              <w:t xml:space="preserve"> </w:t>
            </w:r>
            <w:r>
              <w:rPr>
                <w:spacing w:val="3"/>
              </w:rPr>
              <w:t>学校内控体系。</w:t>
            </w:r>
          </w:p>
        </w:tc>
        <w:tc>
          <w:tcPr>
            <w:tcW w:w="670" w:type="dxa"/>
            <w:vMerge w:val="restart"/>
            <w:tcBorders>
              <w:bottom w:val="nil"/>
            </w:tcBorders>
            <w:vAlign w:val="top"/>
          </w:tcPr>
          <w:p w14:paraId="03C7C8FF">
            <w:pPr>
              <w:spacing w:line="289" w:lineRule="auto"/>
              <w:rPr>
                <w:rFonts w:ascii="Arial"/>
                <w:sz w:val="21"/>
              </w:rPr>
            </w:pPr>
          </w:p>
          <w:p w14:paraId="125D872C">
            <w:pPr>
              <w:spacing w:line="290" w:lineRule="auto"/>
              <w:rPr>
                <w:rFonts w:ascii="Arial"/>
                <w:sz w:val="21"/>
              </w:rPr>
            </w:pPr>
          </w:p>
          <w:p w14:paraId="493BC66B">
            <w:pPr>
              <w:spacing w:line="290" w:lineRule="auto"/>
              <w:rPr>
                <w:rFonts w:ascii="Arial"/>
                <w:sz w:val="21"/>
              </w:rPr>
            </w:pPr>
          </w:p>
          <w:p w14:paraId="65B81503">
            <w:pPr>
              <w:spacing w:line="290" w:lineRule="auto"/>
              <w:rPr>
                <w:rFonts w:ascii="Arial"/>
                <w:sz w:val="21"/>
              </w:rPr>
            </w:pPr>
          </w:p>
          <w:p w14:paraId="12FECB5F">
            <w:pPr>
              <w:pStyle w:val="4"/>
              <w:spacing w:before="73" w:line="162" w:lineRule="auto"/>
              <w:ind w:left="301"/>
            </w:pPr>
            <w:r>
              <w:t>6</w:t>
            </w:r>
          </w:p>
        </w:tc>
        <w:tc>
          <w:tcPr>
            <w:tcW w:w="4035" w:type="dxa"/>
            <w:tcBorders>
              <w:right w:val="single" w:color="000000" w:sz="12" w:space="0"/>
            </w:tcBorders>
            <w:vAlign w:val="top"/>
          </w:tcPr>
          <w:p w14:paraId="6F92154E">
            <w:pPr>
              <w:pStyle w:val="4"/>
              <w:spacing w:before="239" w:line="184" w:lineRule="auto"/>
              <w:ind w:left="32"/>
            </w:pPr>
            <w:r>
              <w:rPr>
                <w:spacing w:val="7"/>
              </w:rPr>
              <w:t>将国有资产管理纳入学校内部控制体系(1分)</w:t>
            </w:r>
          </w:p>
        </w:tc>
      </w:tr>
      <w:tr w14:paraId="41DD66F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534" w:type="dxa"/>
            <w:tcBorders>
              <w:left w:val="single" w:color="000000" w:sz="12" w:space="0"/>
            </w:tcBorders>
            <w:vAlign w:val="top"/>
          </w:tcPr>
          <w:p w14:paraId="2197E4D5">
            <w:pPr>
              <w:pStyle w:val="4"/>
              <w:spacing w:before="268" w:line="162" w:lineRule="auto"/>
              <w:ind w:left="221"/>
            </w:pPr>
            <w:r>
              <w:t>8</w:t>
            </w:r>
          </w:p>
        </w:tc>
        <w:tc>
          <w:tcPr>
            <w:tcW w:w="1060" w:type="dxa"/>
            <w:vMerge w:val="continue"/>
            <w:tcBorders>
              <w:top w:val="nil"/>
              <w:bottom w:val="nil"/>
            </w:tcBorders>
            <w:vAlign w:val="top"/>
          </w:tcPr>
          <w:p w14:paraId="683A1282">
            <w:pPr>
              <w:rPr>
                <w:rFonts w:ascii="Arial"/>
                <w:sz w:val="21"/>
              </w:rPr>
            </w:pPr>
          </w:p>
        </w:tc>
        <w:tc>
          <w:tcPr>
            <w:tcW w:w="1324" w:type="dxa"/>
            <w:vMerge w:val="continue"/>
            <w:tcBorders>
              <w:top w:val="nil"/>
              <w:bottom w:val="nil"/>
            </w:tcBorders>
            <w:vAlign w:val="top"/>
          </w:tcPr>
          <w:p w14:paraId="6B72D6EF">
            <w:pPr>
              <w:rPr>
                <w:rFonts w:ascii="Arial"/>
                <w:sz w:val="21"/>
              </w:rPr>
            </w:pPr>
          </w:p>
        </w:tc>
        <w:tc>
          <w:tcPr>
            <w:tcW w:w="1674" w:type="dxa"/>
            <w:vMerge w:val="continue"/>
            <w:tcBorders>
              <w:top w:val="nil"/>
              <w:bottom w:val="nil"/>
            </w:tcBorders>
            <w:vAlign w:val="top"/>
          </w:tcPr>
          <w:p w14:paraId="296AEBA2">
            <w:pPr>
              <w:rPr>
                <w:rFonts w:ascii="Arial"/>
                <w:sz w:val="21"/>
              </w:rPr>
            </w:pPr>
          </w:p>
        </w:tc>
        <w:tc>
          <w:tcPr>
            <w:tcW w:w="670" w:type="dxa"/>
            <w:vMerge w:val="continue"/>
            <w:tcBorders>
              <w:top w:val="nil"/>
              <w:bottom w:val="nil"/>
            </w:tcBorders>
            <w:vAlign w:val="top"/>
          </w:tcPr>
          <w:p w14:paraId="69EBDF20">
            <w:pPr>
              <w:rPr>
                <w:rFonts w:ascii="Arial"/>
                <w:sz w:val="21"/>
              </w:rPr>
            </w:pPr>
          </w:p>
        </w:tc>
        <w:tc>
          <w:tcPr>
            <w:tcW w:w="4035" w:type="dxa"/>
            <w:tcBorders>
              <w:right w:val="single" w:color="000000" w:sz="12" w:space="0"/>
            </w:tcBorders>
            <w:vAlign w:val="top"/>
          </w:tcPr>
          <w:p w14:paraId="51FDF21A">
            <w:pPr>
              <w:pStyle w:val="4"/>
              <w:spacing w:before="240" w:line="184" w:lineRule="auto"/>
              <w:ind w:left="51"/>
            </w:pPr>
            <w:r>
              <w:rPr>
                <w:spacing w:val="6"/>
              </w:rPr>
              <w:t>国有资产管理业务内部控制机制健全(1分)</w:t>
            </w:r>
          </w:p>
        </w:tc>
      </w:tr>
      <w:tr w14:paraId="09B7DB4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534" w:type="dxa"/>
            <w:tcBorders>
              <w:left w:val="single" w:color="000000" w:sz="12" w:space="0"/>
            </w:tcBorders>
            <w:vAlign w:val="top"/>
          </w:tcPr>
          <w:p w14:paraId="3231576D">
            <w:pPr>
              <w:pStyle w:val="4"/>
              <w:spacing w:before="269" w:line="162" w:lineRule="auto"/>
              <w:ind w:left="221"/>
            </w:pPr>
            <w:r>
              <w:t>9</w:t>
            </w:r>
          </w:p>
        </w:tc>
        <w:tc>
          <w:tcPr>
            <w:tcW w:w="1060" w:type="dxa"/>
            <w:vMerge w:val="continue"/>
            <w:tcBorders>
              <w:top w:val="nil"/>
              <w:bottom w:val="nil"/>
            </w:tcBorders>
            <w:vAlign w:val="top"/>
          </w:tcPr>
          <w:p w14:paraId="3D22BBCC">
            <w:pPr>
              <w:rPr>
                <w:rFonts w:ascii="Arial"/>
                <w:sz w:val="21"/>
              </w:rPr>
            </w:pPr>
          </w:p>
        </w:tc>
        <w:tc>
          <w:tcPr>
            <w:tcW w:w="1324" w:type="dxa"/>
            <w:vMerge w:val="continue"/>
            <w:tcBorders>
              <w:top w:val="nil"/>
              <w:bottom w:val="nil"/>
            </w:tcBorders>
            <w:vAlign w:val="top"/>
          </w:tcPr>
          <w:p w14:paraId="4C83A979">
            <w:pPr>
              <w:rPr>
                <w:rFonts w:ascii="Arial"/>
                <w:sz w:val="21"/>
              </w:rPr>
            </w:pPr>
          </w:p>
        </w:tc>
        <w:tc>
          <w:tcPr>
            <w:tcW w:w="1674" w:type="dxa"/>
            <w:vMerge w:val="continue"/>
            <w:tcBorders>
              <w:top w:val="nil"/>
              <w:bottom w:val="nil"/>
            </w:tcBorders>
            <w:vAlign w:val="top"/>
          </w:tcPr>
          <w:p w14:paraId="5C79C3A8">
            <w:pPr>
              <w:rPr>
                <w:rFonts w:ascii="Arial"/>
                <w:sz w:val="21"/>
              </w:rPr>
            </w:pPr>
          </w:p>
        </w:tc>
        <w:tc>
          <w:tcPr>
            <w:tcW w:w="670" w:type="dxa"/>
            <w:vMerge w:val="continue"/>
            <w:tcBorders>
              <w:top w:val="nil"/>
              <w:bottom w:val="nil"/>
            </w:tcBorders>
            <w:vAlign w:val="top"/>
          </w:tcPr>
          <w:p w14:paraId="272781C2">
            <w:pPr>
              <w:rPr>
                <w:rFonts w:ascii="Arial"/>
                <w:sz w:val="21"/>
              </w:rPr>
            </w:pPr>
          </w:p>
        </w:tc>
        <w:tc>
          <w:tcPr>
            <w:tcW w:w="4035" w:type="dxa"/>
            <w:tcBorders>
              <w:right w:val="single" w:color="000000" w:sz="12" w:space="0"/>
            </w:tcBorders>
            <w:vAlign w:val="top"/>
          </w:tcPr>
          <w:p w14:paraId="6F064D65">
            <w:pPr>
              <w:pStyle w:val="4"/>
              <w:spacing w:before="133" w:line="181" w:lineRule="auto"/>
              <w:ind w:left="63" w:right="128" w:hanging="29"/>
            </w:pPr>
            <w:r>
              <w:rPr>
                <w:spacing w:val="4"/>
              </w:rPr>
              <w:t>制定学校国有资产管理制度（包括授权</w:t>
            </w:r>
            <w:r>
              <w:rPr>
                <w:spacing w:val="-30"/>
              </w:rPr>
              <w:t xml:space="preserve"> </w:t>
            </w:r>
            <w:r>
              <w:rPr>
                <w:spacing w:val="4"/>
              </w:rPr>
              <w:t>、非授权）</w:t>
            </w:r>
            <w:r>
              <w:t xml:space="preserve"> </w:t>
            </w:r>
            <w:r>
              <w:rPr>
                <w:spacing w:val="4"/>
              </w:rPr>
              <w:t>(2分)</w:t>
            </w:r>
          </w:p>
        </w:tc>
      </w:tr>
      <w:tr w14:paraId="723611D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534" w:type="dxa"/>
            <w:tcBorders>
              <w:left w:val="single" w:color="000000" w:sz="12" w:space="0"/>
            </w:tcBorders>
            <w:vAlign w:val="top"/>
          </w:tcPr>
          <w:p w14:paraId="7719E5E9">
            <w:pPr>
              <w:pStyle w:val="4"/>
              <w:spacing w:before="269" w:line="163" w:lineRule="auto"/>
              <w:ind w:left="189"/>
            </w:pPr>
            <w:r>
              <w:rPr>
                <w:spacing w:val="-17"/>
              </w:rPr>
              <w:t>10</w:t>
            </w:r>
          </w:p>
        </w:tc>
        <w:tc>
          <w:tcPr>
            <w:tcW w:w="1060" w:type="dxa"/>
            <w:vMerge w:val="continue"/>
            <w:tcBorders>
              <w:top w:val="nil"/>
              <w:bottom w:val="nil"/>
            </w:tcBorders>
            <w:vAlign w:val="top"/>
          </w:tcPr>
          <w:p w14:paraId="6C973B07">
            <w:pPr>
              <w:rPr>
                <w:rFonts w:ascii="Arial"/>
                <w:sz w:val="21"/>
              </w:rPr>
            </w:pPr>
          </w:p>
        </w:tc>
        <w:tc>
          <w:tcPr>
            <w:tcW w:w="1324" w:type="dxa"/>
            <w:vMerge w:val="continue"/>
            <w:tcBorders>
              <w:top w:val="nil"/>
            </w:tcBorders>
            <w:vAlign w:val="top"/>
          </w:tcPr>
          <w:p w14:paraId="164E809D">
            <w:pPr>
              <w:rPr>
                <w:rFonts w:ascii="Arial"/>
                <w:sz w:val="21"/>
              </w:rPr>
            </w:pPr>
          </w:p>
        </w:tc>
        <w:tc>
          <w:tcPr>
            <w:tcW w:w="1674" w:type="dxa"/>
            <w:vMerge w:val="continue"/>
            <w:tcBorders>
              <w:top w:val="nil"/>
            </w:tcBorders>
            <w:vAlign w:val="top"/>
          </w:tcPr>
          <w:p w14:paraId="61A1B646">
            <w:pPr>
              <w:rPr>
                <w:rFonts w:ascii="Arial"/>
                <w:sz w:val="21"/>
              </w:rPr>
            </w:pPr>
          </w:p>
        </w:tc>
        <w:tc>
          <w:tcPr>
            <w:tcW w:w="670" w:type="dxa"/>
            <w:vMerge w:val="continue"/>
            <w:tcBorders>
              <w:top w:val="nil"/>
            </w:tcBorders>
            <w:vAlign w:val="top"/>
          </w:tcPr>
          <w:p w14:paraId="6751DE31">
            <w:pPr>
              <w:rPr>
                <w:rFonts w:ascii="Arial"/>
                <w:sz w:val="21"/>
              </w:rPr>
            </w:pPr>
          </w:p>
        </w:tc>
        <w:tc>
          <w:tcPr>
            <w:tcW w:w="4035" w:type="dxa"/>
            <w:tcBorders>
              <w:right w:val="single" w:color="000000" w:sz="12" w:space="0"/>
            </w:tcBorders>
            <w:vAlign w:val="top"/>
          </w:tcPr>
          <w:p w14:paraId="798B7BCE">
            <w:pPr>
              <w:pStyle w:val="4"/>
              <w:spacing w:before="242" w:line="184" w:lineRule="auto"/>
              <w:ind w:left="34"/>
            </w:pPr>
            <w:r>
              <w:rPr>
                <w:spacing w:val="7"/>
              </w:rPr>
              <w:t>根据工作需要制定配套实施细则(2分)</w:t>
            </w:r>
          </w:p>
        </w:tc>
      </w:tr>
      <w:tr w14:paraId="7772CF5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8" w:hRule="atLeast"/>
        </w:trPr>
        <w:tc>
          <w:tcPr>
            <w:tcW w:w="534" w:type="dxa"/>
            <w:tcBorders>
              <w:left w:val="single" w:color="000000" w:sz="12" w:space="0"/>
            </w:tcBorders>
            <w:vAlign w:val="top"/>
          </w:tcPr>
          <w:p w14:paraId="74946CE5">
            <w:pPr>
              <w:pStyle w:val="4"/>
              <w:spacing w:before="254" w:line="163" w:lineRule="auto"/>
              <w:ind w:left="189"/>
            </w:pPr>
            <w:r>
              <w:rPr>
                <w:spacing w:val="-17"/>
              </w:rPr>
              <w:t>11</w:t>
            </w:r>
          </w:p>
        </w:tc>
        <w:tc>
          <w:tcPr>
            <w:tcW w:w="1060" w:type="dxa"/>
            <w:vMerge w:val="continue"/>
            <w:tcBorders>
              <w:top w:val="nil"/>
              <w:bottom w:val="nil"/>
            </w:tcBorders>
            <w:vAlign w:val="top"/>
          </w:tcPr>
          <w:p w14:paraId="7426226E">
            <w:pPr>
              <w:rPr>
                <w:rFonts w:ascii="Arial"/>
                <w:sz w:val="21"/>
              </w:rPr>
            </w:pPr>
          </w:p>
        </w:tc>
        <w:tc>
          <w:tcPr>
            <w:tcW w:w="1324" w:type="dxa"/>
            <w:vMerge w:val="restart"/>
            <w:tcBorders>
              <w:bottom w:val="nil"/>
            </w:tcBorders>
            <w:vAlign w:val="top"/>
          </w:tcPr>
          <w:p w14:paraId="6F4A4432">
            <w:pPr>
              <w:spacing w:line="255" w:lineRule="auto"/>
              <w:rPr>
                <w:rFonts w:ascii="Arial"/>
                <w:sz w:val="21"/>
              </w:rPr>
            </w:pPr>
          </w:p>
          <w:p w14:paraId="2B7AF772">
            <w:pPr>
              <w:spacing w:line="255" w:lineRule="auto"/>
              <w:rPr>
                <w:rFonts w:ascii="Arial"/>
                <w:sz w:val="21"/>
              </w:rPr>
            </w:pPr>
          </w:p>
          <w:p w14:paraId="4A3A11FA">
            <w:pPr>
              <w:spacing w:line="255" w:lineRule="auto"/>
              <w:rPr>
                <w:rFonts w:ascii="Arial"/>
                <w:sz w:val="21"/>
              </w:rPr>
            </w:pPr>
          </w:p>
          <w:p w14:paraId="07EDCD49">
            <w:pPr>
              <w:spacing w:line="255" w:lineRule="auto"/>
              <w:rPr>
                <w:rFonts w:ascii="Arial"/>
                <w:sz w:val="21"/>
              </w:rPr>
            </w:pPr>
          </w:p>
          <w:p w14:paraId="3901AF32">
            <w:pPr>
              <w:spacing w:line="255" w:lineRule="auto"/>
              <w:rPr>
                <w:rFonts w:ascii="Arial"/>
                <w:sz w:val="21"/>
              </w:rPr>
            </w:pPr>
          </w:p>
          <w:p w14:paraId="3D008BFB">
            <w:pPr>
              <w:spacing w:line="256" w:lineRule="auto"/>
              <w:rPr>
                <w:rFonts w:ascii="Arial"/>
                <w:sz w:val="21"/>
              </w:rPr>
            </w:pPr>
          </w:p>
          <w:p w14:paraId="00B8CD4C">
            <w:pPr>
              <w:spacing w:line="256" w:lineRule="auto"/>
              <w:rPr>
                <w:rFonts w:ascii="Arial"/>
                <w:sz w:val="21"/>
              </w:rPr>
            </w:pPr>
          </w:p>
          <w:p w14:paraId="10FCB7C2">
            <w:pPr>
              <w:pStyle w:val="4"/>
              <w:spacing w:before="73" w:line="188" w:lineRule="auto"/>
              <w:ind w:left="138"/>
            </w:pPr>
            <w:r>
              <w:rPr>
                <w:spacing w:val="3"/>
              </w:rPr>
              <w:t>管理机构人员</w:t>
            </w:r>
          </w:p>
        </w:tc>
        <w:tc>
          <w:tcPr>
            <w:tcW w:w="1674" w:type="dxa"/>
            <w:vMerge w:val="restart"/>
            <w:tcBorders>
              <w:bottom w:val="nil"/>
            </w:tcBorders>
            <w:vAlign w:val="top"/>
          </w:tcPr>
          <w:p w14:paraId="0994A599">
            <w:pPr>
              <w:spacing w:line="244" w:lineRule="auto"/>
              <w:rPr>
                <w:rFonts w:ascii="Arial"/>
                <w:sz w:val="21"/>
              </w:rPr>
            </w:pPr>
          </w:p>
          <w:p w14:paraId="779931CA">
            <w:pPr>
              <w:spacing w:line="244" w:lineRule="auto"/>
              <w:rPr>
                <w:rFonts w:ascii="Arial"/>
                <w:sz w:val="21"/>
              </w:rPr>
            </w:pPr>
          </w:p>
          <w:p w14:paraId="1069FB7C">
            <w:pPr>
              <w:spacing w:line="244" w:lineRule="auto"/>
              <w:rPr>
                <w:rFonts w:ascii="Arial"/>
                <w:sz w:val="21"/>
              </w:rPr>
            </w:pPr>
          </w:p>
          <w:p w14:paraId="1EE349AB">
            <w:pPr>
              <w:spacing w:line="244" w:lineRule="auto"/>
              <w:rPr>
                <w:rFonts w:ascii="Arial"/>
                <w:sz w:val="21"/>
              </w:rPr>
            </w:pPr>
          </w:p>
          <w:p w14:paraId="4413FC1A">
            <w:pPr>
              <w:spacing w:line="244" w:lineRule="auto"/>
              <w:rPr>
                <w:rFonts w:ascii="Arial"/>
                <w:sz w:val="21"/>
              </w:rPr>
            </w:pPr>
          </w:p>
          <w:p w14:paraId="73623C22">
            <w:pPr>
              <w:spacing w:line="245" w:lineRule="auto"/>
              <w:rPr>
                <w:rFonts w:ascii="Arial"/>
                <w:sz w:val="21"/>
              </w:rPr>
            </w:pPr>
          </w:p>
          <w:p w14:paraId="57E0F23D">
            <w:pPr>
              <w:pStyle w:val="4"/>
              <w:spacing w:before="73" w:line="178" w:lineRule="auto"/>
              <w:ind w:left="50"/>
            </w:pPr>
            <w:r>
              <w:rPr>
                <w:spacing w:val="5"/>
              </w:rPr>
              <w:t>独立设置国有资产管</w:t>
            </w:r>
          </w:p>
          <w:p w14:paraId="02B4EE12">
            <w:pPr>
              <w:pStyle w:val="4"/>
              <w:spacing w:line="177" w:lineRule="auto"/>
              <w:ind w:left="52"/>
            </w:pPr>
            <w:r>
              <w:rPr>
                <w:spacing w:val="2"/>
              </w:rPr>
              <w:t>理部门</w:t>
            </w:r>
            <w:r>
              <w:rPr>
                <w:spacing w:val="-26"/>
              </w:rPr>
              <w:t xml:space="preserve"> </w:t>
            </w:r>
            <w:r>
              <w:rPr>
                <w:spacing w:val="2"/>
              </w:rPr>
              <w:t>，按规定配备</w:t>
            </w:r>
          </w:p>
          <w:p w14:paraId="184CEBE4">
            <w:pPr>
              <w:pStyle w:val="4"/>
              <w:spacing w:before="1" w:line="182" w:lineRule="auto"/>
              <w:ind w:left="578" w:right="33" w:hanging="528"/>
            </w:pPr>
            <w:r>
              <w:rPr>
                <w:spacing w:val="4"/>
              </w:rPr>
              <w:t>专兼职国有资产管理</w:t>
            </w:r>
            <w:r>
              <w:rPr>
                <w:spacing w:val="7"/>
              </w:rPr>
              <w:t xml:space="preserve"> </w:t>
            </w:r>
            <w:r>
              <w:t>人员。</w:t>
            </w:r>
          </w:p>
        </w:tc>
        <w:tc>
          <w:tcPr>
            <w:tcW w:w="670" w:type="dxa"/>
            <w:vMerge w:val="restart"/>
            <w:tcBorders>
              <w:bottom w:val="nil"/>
            </w:tcBorders>
            <w:vAlign w:val="top"/>
          </w:tcPr>
          <w:p w14:paraId="61332FBC">
            <w:pPr>
              <w:spacing w:line="259" w:lineRule="auto"/>
              <w:rPr>
                <w:rFonts w:ascii="Arial"/>
                <w:sz w:val="21"/>
              </w:rPr>
            </w:pPr>
          </w:p>
          <w:p w14:paraId="3532C33F">
            <w:pPr>
              <w:spacing w:line="259" w:lineRule="auto"/>
              <w:rPr>
                <w:rFonts w:ascii="Arial"/>
                <w:sz w:val="21"/>
              </w:rPr>
            </w:pPr>
          </w:p>
          <w:p w14:paraId="4B6BC684">
            <w:pPr>
              <w:spacing w:line="259" w:lineRule="auto"/>
              <w:rPr>
                <w:rFonts w:ascii="Arial"/>
                <w:sz w:val="21"/>
              </w:rPr>
            </w:pPr>
          </w:p>
          <w:p w14:paraId="7801DF1C">
            <w:pPr>
              <w:spacing w:line="259" w:lineRule="auto"/>
              <w:rPr>
                <w:rFonts w:ascii="Arial"/>
                <w:sz w:val="21"/>
              </w:rPr>
            </w:pPr>
          </w:p>
          <w:p w14:paraId="3D21981A">
            <w:pPr>
              <w:spacing w:line="259" w:lineRule="auto"/>
              <w:rPr>
                <w:rFonts w:ascii="Arial"/>
                <w:sz w:val="21"/>
              </w:rPr>
            </w:pPr>
          </w:p>
          <w:p w14:paraId="1C14EC7E">
            <w:pPr>
              <w:spacing w:line="260" w:lineRule="auto"/>
              <w:rPr>
                <w:rFonts w:ascii="Arial"/>
                <w:sz w:val="21"/>
              </w:rPr>
            </w:pPr>
          </w:p>
          <w:p w14:paraId="19D51143">
            <w:pPr>
              <w:spacing w:line="260" w:lineRule="auto"/>
              <w:rPr>
                <w:rFonts w:ascii="Arial"/>
                <w:sz w:val="21"/>
              </w:rPr>
            </w:pPr>
          </w:p>
          <w:p w14:paraId="5095FBC4">
            <w:pPr>
              <w:pStyle w:val="4"/>
              <w:spacing w:before="73" w:line="162" w:lineRule="auto"/>
              <w:ind w:left="300"/>
            </w:pPr>
            <w:r>
              <w:t>8</w:t>
            </w:r>
          </w:p>
        </w:tc>
        <w:tc>
          <w:tcPr>
            <w:tcW w:w="4035" w:type="dxa"/>
            <w:tcBorders>
              <w:right w:val="single" w:color="000000" w:sz="12" w:space="0"/>
            </w:tcBorders>
            <w:vAlign w:val="top"/>
          </w:tcPr>
          <w:p w14:paraId="6FED84BF">
            <w:pPr>
              <w:pStyle w:val="4"/>
              <w:spacing w:before="227" w:line="184" w:lineRule="auto"/>
              <w:ind w:left="35"/>
            </w:pPr>
            <w:r>
              <w:rPr>
                <w:spacing w:val="7"/>
              </w:rPr>
              <w:t>按规定独立设置国有资产管理部门(1分)</w:t>
            </w:r>
          </w:p>
        </w:tc>
      </w:tr>
      <w:tr w14:paraId="4219D12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8" w:hRule="atLeast"/>
        </w:trPr>
        <w:tc>
          <w:tcPr>
            <w:tcW w:w="534" w:type="dxa"/>
            <w:tcBorders>
              <w:left w:val="single" w:color="000000" w:sz="12" w:space="0"/>
            </w:tcBorders>
            <w:vAlign w:val="top"/>
          </w:tcPr>
          <w:p w14:paraId="6F8A9AC7">
            <w:pPr>
              <w:pStyle w:val="4"/>
              <w:spacing w:before="256" w:line="163" w:lineRule="auto"/>
              <w:ind w:left="189"/>
            </w:pPr>
            <w:r>
              <w:rPr>
                <w:spacing w:val="-17"/>
              </w:rPr>
              <w:t>12</w:t>
            </w:r>
          </w:p>
        </w:tc>
        <w:tc>
          <w:tcPr>
            <w:tcW w:w="1060" w:type="dxa"/>
            <w:vMerge w:val="continue"/>
            <w:tcBorders>
              <w:top w:val="nil"/>
              <w:bottom w:val="nil"/>
            </w:tcBorders>
            <w:vAlign w:val="top"/>
          </w:tcPr>
          <w:p w14:paraId="1673C337">
            <w:pPr>
              <w:rPr>
                <w:rFonts w:ascii="Arial"/>
                <w:sz w:val="21"/>
              </w:rPr>
            </w:pPr>
          </w:p>
        </w:tc>
        <w:tc>
          <w:tcPr>
            <w:tcW w:w="1324" w:type="dxa"/>
            <w:vMerge w:val="continue"/>
            <w:tcBorders>
              <w:top w:val="nil"/>
              <w:bottom w:val="nil"/>
            </w:tcBorders>
            <w:vAlign w:val="top"/>
          </w:tcPr>
          <w:p w14:paraId="68837237">
            <w:pPr>
              <w:rPr>
                <w:rFonts w:ascii="Arial"/>
                <w:sz w:val="21"/>
              </w:rPr>
            </w:pPr>
          </w:p>
        </w:tc>
        <w:tc>
          <w:tcPr>
            <w:tcW w:w="1674" w:type="dxa"/>
            <w:vMerge w:val="continue"/>
            <w:tcBorders>
              <w:top w:val="nil"/>
              <w:bottom w:val="nil"/>
            </w:tcBorders>
            <w:vAlign w:val="top"/>
          </w:tcPr>
          <w:p w14:paraId="02CB6A5C">
            <w:pPr>
              <w:rPr>
                <w:rFonts w:ascii="Arial"/>
                <w:sz w:val="21"/>
              </w:rPr>
            </w:pPr>
          </w:p>
        </w:tc>
        <w:tc>
          <w:tcPr>
            <w:tcW w:w="670" w:type="dxa"/>
            <w:vMerge w:val="continue"/>
            <w:tcBorders>
              <w:top w:val="nil"/>
              <w:bottom w:val="nil"/>
            </w:tcBorders>
            <w:vAlign w:val="top"/>
          </w:tcPr>
          <w:p w14:paraId="414130BD">
            <w:pPr>
              <w:rPr>
                <w:rFonts w:ascii="Arial"/>
                <w:sz w:val="21"/>
              </w:rPr>
            </w:pPr>
          </w:p>
        </w:tc>
        <w:tc>
          <w:tcPr>
            <w:tcW w:w="4035" w:type="dxa"/>
            <w:tcBorders>
              <w:right w:val="single" w:color="000000" w:sz="12" w:space="0"/>
            </w:tcBorders>
            <w:vAlign w:val="top"/>
          </w:tcPr>
          <w:p w14:paraId="4E501409">
            <w:pPr>
              <w:pStyle w:val="4"/>
              <w:spacing w:before="228" w:line="184" w:lineRule="auto"/>
              <w:ind w:left="51"/>
            </w:pPr>
            <w:r>
              <w:rPr>
                <w:spacing w:val="6"/>
              </w:rPr>
              <w:t>国有资产管理部门职责明确(1分)</w:t>
            </w:r>
          </w:p>
        </w:tc>
      </w:tr>
      <w:tr w14:paraId="7D1DC4E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6" w:hRule="atLeast"/>
        </w:trPr>
        <w:tc>
          <w:tcPr>
            <w:tcW w:w="534" w:type="dxa"/>
            <w:tcBorders>
              <w:left w:val="single" w:color="000000" w:sz="12" w:space="0"/>
            </w:tcBorders>
            <w:vAlign w:val="top"/>
          </w:tcPr>
          <w:p w14:paraId="094DFF7E">
            <w:pPr>
              <w:spacing w:line="289" w:lineRule="auto"/>
              <w:rPr>
                <w:rFonts w:ascii="Arial"/>
                <w:sz w:val="21"/>
              </w:rPr>
            </w:pPr>
          </w:p>
          <w:p w14:paraId="50732229">
            <w:pPr>
              <w:pStyle w:val="4"/>
              <w:spacing w:before="73" w:line="163" w:lineRule="auto"/>
              <w:ind w:left="189"/>
            </w:pPr>
            <w:r>
              <w:rPr>
                <w:spacing w:val="-17"/>
              </w:rPr>
              <w:t>13</w:t>
            </w:r>
          </w:p>
        </w:tc>
        <w:tc>
          <w:tcPr>
            <w:tcW w:w="1060" w:type="dxa"/>
            <w:vMerge w:val="continue"/>
            <w:tcBorders>
              <w:top w:val="nil"/>
              <w:bottom w:val="nil"/>
            </w:tcBorders>
            <w:vAlign w:val="top"/>
          </w:tcPr>
          <w:p w14:paraId="264070E9">
            <w:pPr>
              <w:rPr>
                <w:rFonts w:ascii="Arial"/>
                <w:sz w:val="21"/>
              </w:rPr>
            </w:pPr>
          </w:p>
        </w:tc>
        <w:tc>
          <w:tcPr>
            <w:tcW w:w="1324" w:type="dxa"/>
            <w:vMerge w:val="continue"/>
            <w:tcBorders>
              <w:top w:val="nil"/>
              <w:bottom w:val="nil"/>
            </w:tcBorders>
            <w:vAlign w:val="top"/>
          </w:tcPr>
          <w:p w14:paraId="52D42A45">
            <w:pPr>
              <w:rPr>
                <w:rFonts w:ascii="Arial"/>
                <w:sz w:val="21"/>
              </w:rPr>
            </w:pPr>
          </w:p>
        </w:tc>
        <w:tc>
          <w:tcPr>
            <w:tcW w:w="1674" w:type="dxa"/>
            <w:vMerge w:val="continue"/>
            <w:tcBorders>
              <w:top w:val="nil"/>
              <w:bottom w:val="nil"/>
            </w:tcBorders>
            <w:vAlign w:val="top"/>
          </w:tcPr>
          <w:p w14:paraId="0BB10C40">
            <w:pPr>
              <w:rPr>
                <w:rFonts w:ascii="Arial"/>
                <w:sz w:val="21"/>
              </w:rPr>
            </w:pPr>
          </w:p>
        </w:tc>
        <w:tc>
          <w:tcPr>
            <w:tcW w:w="670" w:type="dxa"/>
            <w:vMerge w:val="continue"/>
            <w:tcBorders>
              <w:top w:val="nil"/>
              <w:bottom w:val="nil"/>
            </w:tcBorders>
            <w:vAlign w:val="top"/>
          </w:tcPr>
          <w:p w14:paraId="4F8938C7">
            <w:pPr>
              <w:rPr>
                <w:rFonts w:ascii="Arial"/>
                <w:sz w:val="21"/>
              </w:rPr>
            </w:pPr>
          </w:p>
        </w:tc>
        <w:tc>
          <w:tcPr>
            <w:tcW w:w="4035" w:type="dxa"/>
            <w:tcBorders>
              <w:right w:val="single" w:color="000000" w:sz="12" w:space="0"/>
            </w:tcBorders>
            <w:vAlign w:val="top"/>
          </w:tcPr>
          <w:p w14:paraId="2D1A3A6E">
            <w:pPr>
              <w:pStyle w:val="4"/>
              <w:spacing w:before="229" w:line="181" w:lineRule="auto"/>
              <w:ind w:left="34" w:right="26" w:firstLine="16"/>
            </w:pPr>
            <w:r>
              <w:rPr>
                <w:spacing w:val="5"/>
              </w:rPr>
              <w:t>国有资产管理部门领导职务</w:t>
            </w:r>
            <w:r>
              <w:rPr>
                <w:spacing w:val="-21"/>
              </w:rPr>
              <w:t xml:space="preserve"> </w:t>
            </w:r>
            <w:r>
              <w:rPr>
                <w:spacing w:val="5"/>
              </w:rPr>
              <w:t>、职级和职数(1分)及工</w:t>
            </w:r>
            <w:r>
              <w:t xml:space="preserve"> </w:t>
            </w:r>
            <w:r>
              <w:rPr>
                <w:spacing w:val="3"/>
              </w:rPr>
              <w:t>作人员配置合理（2分）</w:t>
            </w:r>
          </w:p>
        </w:tc>
      </w:tr>
      <w:tr w14:paraId="7FA229D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8" w:hRule="atLeast"/>
        </w:trPr>
        <w:tc>
          <w:tcPr>
            <w:tcW w:w="534" w:type="dxa"/>
            <w:tcBorders>
              <w:left w:val="single" w:color="000000" w:sz="12" w:space="0"/>
            </w:tcBorders>
            <w:vAlign w:val="top"/>
          </w:tcPr>
          <w:p w14:paraId="7992960D">
            <w:pPr>
              <w:pStyle w:val="4"/>
              <w:spacing w:before="257" w:line="163" w:lineRule="auto"/>
              <w:ind w:left="189"/>
            </w:pPr>
            <w:r>
              <w:rPr>
                <w:spacing w:val="-17"/>
              </w:rPr>
              <w:t>14</w:t>
            </w:r>
          </w:p>
        </w:tc>
        <w:tc>
          <w:tcPr>
            <w:tcW w:w="1060" w:type="dxa"/>
            <w:vMerge w:val="continue"/>
            <w:tcBorders>
              <w:top w:val="nil"/>
              <w:bottom w:val="nil"/>
            </w:tcBorders>
            <w:vAlign w:val="top"/>
          </w:tcPr>
          <w:p w14:paraId="74523B80">
            <w:pPr>
              <w:rPr>
                <w:rFonts w:ascii="Arial"/>
                <w:sz w:val="21"/>
              </w:rPr>
            </w:pPr>
          </w:p>
        </w:tc>
        <w:tc>
          <w:tcPr>
            <w:tcW w:w="1324" w:type="dxa"/>
            <w:vMerge w:val="continue"/>
            <w:tcBorders>
              <w:top w:val="nil"/>
              <w:bottom w:val="nil"/>
            </w:tcBorders>
            <w:vAlign w:val="top"/>
          </w:tcPr>
          <w:p w14:paraId="70866238">
            <w:pPr>
              <w:rPr>
                <w:rFonts w:ascii="Arial"/>
                <w:sz w:val="21"/>
              </w:rPr>
            </w:pPr>
          </w:p>
        </w:tc>
        <w:tc>
          <w:tcPr>
            <w:tcW w:w="1674" w:type="dxa"/>
            <w:vMerge w:val="continue"/>
            <w:tcBorders>
              <w:top w:val="nil"/>
              <w:bottom w:val="nil"/>
            </w:tcBorders>
            <w:vAlign w:val="top"/>
          </w:tcPr>
          <w:p w14:paraId="12CA93BD">
            <w:pPr>
              <w:rPr>
                <w:rFonts w:ascii="Arial"/>
                <w:sz w:val="21"/>
              </w:rPr>
            </w:pPr>
          </w:p>
        </w:tc>
        <w:tc>
          <w:tcPr>
            <w:tcW w:w="670" w:type="dxa"/>
            <w:vMerge w:val="continue"/>
            <w:tcBorders>
              <w:top w:val="nil"/>
              <w:bottom w:val="nil"/>
            </w:tcBorders>
            <w:vAlign w:val="top"/>
          </w:tcPr>
          <w:p w14:paraId="2E78857A">
            <w:pPr>
              <w:rPr>
                <w:rFonts w:ascii="Arial"/>
                <w:sz w:val="21"/>
              </w:rPr>
            </w:pPr>
          </w:p>
        </w:tc>
        <w:tc>
          <w:tcPr>
            <w:tcW w:w="4035" w:type="dxa"/>
            <w:tcBorders>
              <w:right w:val="single" w:color="000000" w:sz="12" w:space="0"/>
            </w:tcBorders>
            <w:vAlign w:val="top"/>
          </w:tcPr>
          <w:p w14:paraId="75FB2D2C">
            <w:pPr>
              <w:pStyle w:val="4"/>
              <w:spacing w:before="230" w:line="184" w:lineRule="auto"/>
              <w:ind w:left="51"/>
            </w:pPr>
            <w:r>
              <w:rPr>
                <w:spacing w:val="6"/>
              </w:rPr>
              <w:t>国有资产管理部门内部岗位设置符合内控要求(1分)</w:t>
            </w:r>
          </w:p>
        </w:tc>
      </w:tr>
      <w:tr w14:paraId="497FFA7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534" w:type="dxa"/>
            <w:tcBorders>
              <w:left w:val="single" w:color="000000" w:sz="12" w:space="0"/>
            </w:tcBorders>
            <w:vAlign w:val="top"/>
          </w:tcPr>
          <w:p w14:paraId="05A7EC4F">
            <w:pPr>
              <w:pStyle w:val="4"/>
              <w:spacing w:before="259" w:line="162" w:lineRule="auto"/>
              <w:ind w:left="189"/>
            </w:pPr>
            <w:r>
              <w:rPr>
                <w:spacing w:val="-17"/>
              </w:rPr>
              <w:t>15</w:t>
            </w:r>
          </w:p>
        </w:tc>
        <w:tc>
          <w:tcPr>
            <w:tcW w:w="1060" w:type="dxa"/>
            <w:vMerge w:val="continue"/>
            <w:tcBorders>
              <w:top w:val="nil"/>
              <w:bottom w:val="nil"/>
            </w:tcBorders>
            <w:vAlign w:val="top"/>
          </w:tcPr>
          <w:p w14:paraId="5C0815E5">
            <w:pPr>
              <w:rPr>
                <w:rFonts w:ascii="Arial"/>
                <w:sz w:val="21"/>
              </w:rPr>
            </w:pPr>
          </w:p>
        </w:tc>
        <w:tc>
          <w:tcPr>
            <w:tcW w:w="1324" w:type="dxa"/>
            <w:vMerge w:val="continue"/>
            <w:tcBorders>
              <w:top w:val="nil"/>
              <w:bottom w:val="nil"/>
            </w:tcBorders>
            <w:vAlign w:val="top"/>
          </w:tcPr>
          <w:p w14:paraId="74C17989">
            <w:pPr>
              <w:rPr>
                <w:rFonts w:ascii="Arial"/>
                <w:sz w:val="21"/>
              </w:rPr>
            </w:pPr>
          </w:p>
        </w:tc>
        <w:tc>
          <w:tcPr>
            <w:tcW w:w="1674" w:type="dxa"/>
            <w:vMerge w:val="continue"/>
            <w:tcBorders>
              <w:top w:val="nil"/>
              <w:bottom w:val="nil"/>
            </w:tcBorders>
            <w:vAlign w:val="top"/>
          </w:tcPr>
          <w:p w14:paraId="0B386789">
            <w:pPr>
              <w:rPr>
                <w:rFonts w:ascii="Arial"/>
                <w:sz w:val="21"/>
              </w:rPr>
            </w:pPr>
          </w:p>
        </w:tc>
        <w:tc>
          <w:tcPr>
            <w:tcW w:w="670" w:type="dxa"/>
            <w:vMerge w:val="continue"/>
            <w:tcBorders>
              <w:top w:val="nil"/>
              <w:bottom w:val="nil"/>
            </w:tcBorders>
            <w:vAlign w:val="top"/>
          </w:tcPr>
          <w:p w14:paraId="461CAC58">
            <w:pPr>
              <w:rPr>
                <w:rFonts w:ascii="Arial"/>
                <w:sz w:val="21"/>
              </w:rPr>
            </w:pPr>
          </w:p>
        </w:tc>
        <w:tc>
          <w:tcPr>
            <w:tcW w:w="4035" w:type="dxa"/>
            <w:tcBorders>
              <w:right w:val="single" w:color="000000" w:sz="12" w:space="0"/>
            </w:tcBorders>
            <w:vAlign w:val="top"/>
          </w:tcPr>
          <w:p w14:paraId="7FDF3B07">
            <w:pPr>
              <w:pStyle w:val="4"/>
              <w:spacing w:before="231" w:line="184" w:lineRule="auto"/>
              <w:ind w:left="36"/>
            </w:pPr>
            <w:r>
              <w:rPr>
                <w:spacing w:val="7"/>
              </w:rPr>
              <w:t>二级单位配备资产管理人员(1分)</w:t>
            </w:r>
          </w:p>
        </w:tc>
      </w:tr>
      <w:tr w14:paraId="106494D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534" w:type="dxa"/>
            <w:tcBorders>
              <w:left w:val="single" w:color="000000" w:sz="12" w:space="0"/>
            </w:tcBorders>
            <w:vAlign w:val="top"/>
          </w:tcPr>
          <w:p w14:paraId="212AA5A9">
            <w:pPr>
              <w:pStyle w:val="4"/>
              <w:spacing w:before="258" w:line="163" w:lineRule="auto"/>
              <w:ind w:left="189"/>
            </w:pPr>
            <w:r>
              <w:rPr>
                <w:spacing w:val="-17"/>
              </w:rPr>
              <w:t>16</w:t>
            </w:r>
          </w:p>
        </w:tc>
        <w:tc>
          <w:tcPr>
            <w:tcW w:w="1060" w:type="dxa"/>
            <w:vMerge w:val="continue"/>
            <w:tcBorders>
              <w:top w:val="nil"/>
              <w:bottom w:val="nil"/>
            </w:tcBorders>
            <w:vAlign w:val="top"/>
          </w:tcPr>
          <w:p w14:paraId="0544AD4C">
            <w:pPr>
              <w:rPr>
                <w:rFonts w:ascii="Arial"/>
                <w:sz w:val="21"/>
              </w:rPr>
            </w:pPr>
          </w:p>
        </w:tc>
        <w:tc>
          <w:tcPr>
            <w:tcW w:w="1324" w:type="dxa"/>
            <w:vMerge w:val="continue"/>
            <w:tcBorders>
              <w:top w:val="nil"/>
            </w:tcBorders>
            <w:vAlign w:val="top"/>
          </w:tcPr>
          <w:p w14:paraId="460452C6">
            <w:pPr>
              <w:rPr>
                <w:rFonts w:ascii="Arial"/>
                <w:sz w:val="21"/>
              </w:rPr>
            </w:pPr>
          </w:p>
        </w:tc>
        <w:tc>
          <w:tcPr>
            <w:tcW w:w="1674" w:type="dxa"/>
            <w:vMerge w:val="continue"/>
            <w:tcBorders>
              <w:top w:val="nil"/>
            </w:tcBorders>
            <w:vAlign w:val="top"/>
          </w:tcPr>
          <w:p w14:paraId="514CBA6F">
            <w:pPr>
              <w:rPr>
                <w:rFonts w:ascii="Arial"/>
                <w:sz w:val="21"/>
              </w:rPr>
            </w:pPr>
          </w:p>
        </w:tc>
        <w:tc>
          <w:tcPr>
            <w:tcW w:w="670" w:type="dxa"/>
            <w:vMerge w:val="continue"/>
            <w:tcBorders>
              <w:top w:val="nil"/>
            </w:tcBorders>
            <w:vAlign w:val="top"/>
          </w:tcPr>
          <w:p w14:paraId="52A089F2">
            <w:pPr>
              <w:rPr>
                <w:rFonts w:ascii="Arial"/>
                <w:sz w:val="21"/>
              </w:rPr>
            </w:pPr>
          </w:p>
        </w:tc>
        <w:tc>
          <w:tcPr>
            <w:tcW w:w="4035" w:type="dxa"/>
            <w:tcBorders>
              <w:right w:val="single" w:color="000000" w:sz="12" w:space="0"/>
            </w:tcBorders>
            <w:vAlign w:val="top"/>
          </w:tcPr>
          <w:p w14:paraId="1BD12839">
            <w:pPr>
              <w:pStyle w:val="4"/>
              <w:spacing w:before="231" w:line="184" w:lineRule="auto"/>
              <w:ind w:left="38"/>
            </w:pPr>
            <w:r>
              <w:rPr>
                <w:spacing w:val="3"/>
              </w:rPr>
              <w:t>定期开展全校资产管理业务培训（1分）</w:t>
            </w:r>
          </w:p>
        </w:tc>
      </w:tr>
      <w:tr w14:paraId="6E18735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534" w:type="dxa"/>
            <w:tcBorders>
              <w:left w:val="single" w:color="000000" w:sz="12" w:space="0"/>
            </w:tcBorders>
            <w:vAlign w:val="top"/>
          </w:tcPr>
          <w:p w14:paraId="602846CB">
            <w:pPr>
              <w:pStyle w:val="4"/>
              <w:spacing w:before="261" w:line="164" w:lineRule="auto"/>
              <w:ind w:left="189"/>
            </w:pPr>
            <w:r>
              <w:rPr>
                <w:spacing w:val="-17"/>
              </w:rPr>
              <w:t>17</w:t>
            </w:r>
          </w:p>
        </w:tc>
        <w:tc>
          <w:tcPr>
            <w:tcW w:w="1060" w:type="dxa"/>
            <w:vMerge w:val="continue"/>
            <w:tcBorders>
              <w:top w:val="nil"/>
              <w:bottom w:val="nil"/>
            </w:tcBorders>
            <w:vAlign w:val="top"/>
          </w:tcPr>
          <w:p w14:paraId="53218F0A">
            <w:pPr>
              <w:rPr>
                <w:rFonts w:ascii="Arial"/>
                <w:sz w:val="21"/>
              </w:rPr>
            </w:pPr>
          </w:p>
        </w:tc>
        <w:tc>
          <w:tcPr>
            <w:tcW w:w="1324" w:type="dxa"/>
            <w:vMerge w:val="restart"/>
            <w:tcBorders>
              <w:bottom w:val="nil"/>
            </w:tcBorders>
            <w:vAlign w:val="top"/>
          </w:tcPr>
          <w:p w14:paraId="4878D3FE">
            <w:pPr>
              <w:spacing w:line="269" w:lineRule="auto"/>
              <w:rPr>
                <w:rFonts w:ascii="Arial"/>
                <w:sz w:val="21"/>
              </w:rPr>
            </w:pPr>
          </w:p>
          <w:p w14:paraId="374B192C">
            <w:pPr>
              <w:spacing w:line="269" w:lineRule="auto"/>
              <w:rPr>
                <w:rFonts w:ascii="Arial"/>
                <w:sz w:val="21"/>
              </w:rPr>
            </w:pPr>
          </w:p>
          <w:p w14:paraId="3010DB90">
            <w:pPr>
              <w:spacing w:line="270" w:lineRule="auto"/>
              <w:rPr>
                <w:rFonts w:ascii="Arial"/>
                <w:sz w:val="21"/>
              </w:rPr>
            </w:pPr>
          </w:p>
          <w:p w14:paraId="1D9BEE99">
            <w:pPr>
              <w:spacing w:line="270" w:lineRule="auto"/>
              <w:rPr>
                <w:rFonts w:ascii="Arial"/>
                <w:sz w:val="21"/>
              </w:rPr>
            </w:pPr>
          </w:p>
          <w:p w14:paraId="418FE6EE">
            <w:pPr>
              <w:pStyle w:val="4"/>
              <w:spacing w:before="73" w:line="188" w:lineRule="auto"/>
              <w:ind w:left="310"/>
            </w:pPr>
            <w:r>
              <w:rPr>
                <w:spacing w:val="3"/>
              </w:rPr>
              <w:t>监督评价</w:t>
            </w:r>
          </w:p>
        </w:tc>
        <w:tc>
          <w:tcPr>
            <w:tcW w:w="1674" w:type="dxa"/>
            <w:vMerge w:val="restart"/>
            <w:tcBorders>
              <w:bottom w:val="nil"/>
            </w:tcBorders>
            <w:vAlign w:val="top"/>
          </w:tcPr>
          <w:p w14:paraId="19FA069B">
            <w:pPr>
              <w:spacing w:line="251" w:lineRule="auto"/>
              <w:rPr>
                <w:rFonts w:ascii="Arial"/>
                <w:sz w:val="21"/>
              </w:rPr>
            </w:pPr>
          </w:p>
          <w:p w14:paraId="29C5D542">
            <w:pPr>
              <w:spacing w:line="252" w:lineRule="auto"/>
              <w:rPr>
                <w:rFonts w:ascii="Arial"/>
                <w:sz w:val="21"/>
              </w:rPr>
            </w:pPr>
          </w:p>
          <w:p w14:paraId="390D6CC6">
            <w:pPr>
              <w:spacing w:line="252" w:lineRule="auto"/>
              <w:rPr>
                <w:rFonts w:ascii="Arial"/>
                <w:sz w:val="21"/>
              </w:rPr>
            </w:pPr>
          </w:p>
          <w:p w14:paraId="7193A500">
            <w:pPr>
              <w:pStyle w:val="4"/>
              <w:spacing w:before="73" w:line="178" w:lineRule="auto"/>
              <w:ind w:left="48"/>
            </w:pPr>
            <w:r>
              <w:rPr>
                <w:spacing w:val="5"/>
              </w:rPr>
              <w:t>将国有资产管理纳入</w:t>
            </w:r>
          </w:p>
          <w:p w14:paraId="00ED4F2D">
            <w:pPr>
              <w:pStyle w:val="4"/>
              <w:spacing w:line="177" w:lineRule="auto"/>
              <w:ind w:left="53"/>
            </w:pPr>
            <w:r>
              <w:rPr>
                <w:spacing w:val="2"/>
              </w:rPr>
              <w:t>学校监督范围</w:t>
            </w:r>
            <w:r>
              <w:rPr>
                <w:spacing w:val="-28"/>
              </w:rPr>
              <w:t xml:space="preserve"> </w:t>
            </w:r>
            <w:r>
              <w:rPr>
                <w:spacing w:val="2"/>
              </w:rPr>
              <w:t>，定期</w:t>
            </w:r>
          </w:p>
          <w:p w14:paraId="0338F4A1">
            <w:pPr>
              <w:pStyle w:val="4"/>
              <w:spacing w:before="2" w:line="182" w:lineRule="auto"/>
              <w:ind w:left="493" w:right="33" w:hanging="443"/>
            </w:pPr>
            <w:r>
              <w:rPr>
                <w:spacing w:val="4"/>
              </w:rPr>
              <w:t>开展校内资产管理绩</w:t>
            </w:r>
            <w:r>
              <w:rPr>
                <w:spacing w:val="7"/>
              </w:rPr>
              <w:t xml:space="preserve"> </w:t>
            </w:r>
            <w:r>
              <w:rPr>
                <w:spacing w:val="1"/>
              </w:rPr>
              <w:t>效评价。</w:t>
            </w:r>
          </w:p>
        </w:tc>
        <w:tc>
          <w:tcPr>
            <w:tcW w:w="670" w:type="dxa"/>
            <w:vMerge w:val="restart"/>
            <w:tcBorders>
              <w:bottom w:val="nil"/>
            </w:tcBorders>
            <w:vAlign w:val="top"/>
          </w:tcPr>
          <w:p w14:paraId="62AA7BA9">
            <w:pPr>
              <w:spacing w:line="276" w:lineRule="auto"/>
              <w:rPr>
                <w:rFonts w:ascii="Arial"/>
                <w:sz w:val="21"/>
              </w:rPr>
            </w:pPr>
          </w:p>
          <w:p w14:paraId="7D053D5B">
            <w:pPr>
              <w:spacing w:line="276" w:lineRule="auto"/>
              <w:rPr>
                <w:rFonts w:ascii="Arial"/>
                <w:sz w:val="21"/>
              </w:rPr>
            </w:pPr>
          </w:p>
          <w:p w14:paraId="161E4E2E">
            <w:pPr>
              <w:spacing w:line="277" w:lineRule="auto"/>
              <w:rPr>
                <w:rFonts w:ascii="Arial"/>
                <w:sz w:val="21"/>
              </w:rPr>
            </w:pPr>
          </w:p>
          <w:p w14:paraId="33D41BDB">
            <w:pPr>
              <w:spacing w:line="277" w:lineRule="auto"/>
              <w:rPr>
                <w:rFonts w:ascii="Arial"/>
                <w:sz w:val="21"/>
              </w:rPr>
            </w:pPr>
          </w:p>
          <w:p w14:paraId="7249FBE3">
            <w:pPr>
              <w:pStyle w:val="4"/>
              <w:spacing w:before="73" w:line="163" w:lineRule="auto"/>
              <w:ind w:left="304"/>
            </w:pPr>
            <w:r>
              <w:t>7</w:t>
            </w:r>
          </w:p>
        </w:tc>
        <w:tc>
          <w:tcPr>
            <w:tcW w:w="4035" w:type="dxa"/>
            <w:tcBorders>
              <w:right w:val="single" w:color="000000" w:sz="12" w:space="0"/>
            </w:tcBorders>
            <w:vAlign w:val="top"/>
          </w:tcPr>
          <w:p w14:paraId="2FA265B1">
            <w:pPr>
              <w:pStyle w:val="4"/>
              <w:spacing w:before="233" w:line="184" w:lineRule="auto"/>
              <w:ind w:left="32"/>
            </w:pPr>
            <w:r>
              <w:rPr>
                <w:spacing w:val="4"/>
              </w:rPr>
              <w:t>将资产管理纳入校内巡察和审计范围（1分）</w:t>
            </w:r>
          </w:p>
        </w:tc>
      </w:tr>
      <w:tr w14:paraId="70C86B2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1" w:hRule="atLeast"/>
        </w:trPr>
        <w:tc>
          <w:tcPr>
            <w:tcW w:w="534" w:type="dxa"/>
            <w:tcBorders>
              <w:left w:val="single" w:color="000000" w:sz="12" w:space="0"/>
            </w:tcBorders>
            <w:vAlign w:val="top"/>
          </w:tcPr>
          <w:p w14:paraId="7F4C3430">
            <w:pPr>
              <w:pStyle w:val="4"/>
              <w:spacing w:before="261" w:line="163" w:lineRule="auto"/>
              <w:ind w:left="189"/>
            </w:pPr>
            <w:r>
              <w:rPr>
                <w:spacing w:val="-17"/>
              </w:rPr>
              <w:t>18</w:t>
            </w:r>
          </w:p>
        </w:tc>
        <w:tc>
          <w:tcPr>
            <w:tcW w:w="1060" w:type="dxa"/>
            <w:vMerge w:val="continue"/>
            <w:tcBorders>
              <w:top w:val="nil"/>
              <w:bottom w:val="nil"/>
            </w:tcBorders>
            <w:vAlign w:val="top"/>
          </w:tcPr>
          <w:p w14:paraId="27956ED1">
            <w:pPr>
              <w:rPr>
                <w:rFonts w:ascii="Arial"/>
                <w:sz w:val="21"/>
              </w:rPr>
            </w:pPr>
          </w:p>
        </w:tc>
        <w:tc>
          <w:tcPr>
            <w:tcW w:w="1324" w:type="dxa"/>
            <w:vMerge w:val="continue"/>
            <w:tcBorders>
              <w:top w:val="nil"/>
              <w:bottom w:val="nil"/>
            </w:tcBorders>
            <w:vAlign w:val="top"/>
          </w:tcPr>
          <w:p w14:paraId="49386334">
            <w:pPr>
              <w:rPr>
                <w:rFonts w:ascii="Arial"/>
                <w:sz w:val="21"/>
              </w:rPr>
            </w:pPr>
          </w:p>
        </w:tc>
        <w:tc>
          <w:tcPr>
            <w:tcW w:w="1674" w:type="dxa"/>
            <w:vMerge w:val="continue"/>
            <w:tcBorders>
              <w:top w:val="nil"/>
              <w:bottom w:val="nil"/>
            </w:tcBorders>
            <w:vAlign w:val="top"/>
          </w:tcPr>
          <w:p w14:paraId="613AB14F">
            <w:pPr>
              <w:rPr>
                <w:rFonts w:ascii="Arial"/>
                <w:sz w:val="21"/>
              </w:rPr>
            </w:pPr>
          </w:p>
        </w:tc>
        <w:tc>
          <w:tcPr>
            <w:tcW w:w="670" w:type="dxa"/>
            <w:vMerge w:val="continue"/>
            <w:tcBorders>
              <w:top w:val="nil"/>
              <w:bottom w:val="nil"/>
            </w:tcBorders>
            <w:vAlign w:val="top"/>
          </w:tcPr>
          <w:p w14:paraId="58757FD6">
            <w:pPr>
              <w:rPr>
                <w:rFonts w:ascii="Arial"/>
                <w:sz w:val="21"/>
              </w:rPr>
            </w:pPr>
          </w:p>
        </w:tc>
        <w:tc>
          <w:tcPr>
            <w:tcW w:w="4035" w:type="dxa"/>
            <w:tcBorders>
              <w:right w:val="single" w:color="000000" w:sz="12" w:space="0"/>
            </w:tcBorders>
            <w:vAlign w:val="top"/>
          </w:tcPr>
          <w:p w14:paraId="3E5A87DE">
            <w:pPr>
              <w:pStyle w:val="4"/>
              <w:spacing w:before="126" w:line="181" w:lineRule="auto"/>
              <w:ind w:left="40" w:right="114" w:hanging="6"/>
            </w:pPr>
            <w:r>
              <w:rPr>
                <w:spacing w:val="3"/>
              </w:rPr>
              <w:t>做好巡视</w:t>
            </w:r>
            <w:r>
              <w:rPr>
                <w:spacing w:val="-15"/>
              </w:rPr>
              <w:t xml:space="preserve"> </w:t>
            </w:r>
            <w:r>
              <w:rPr>
                <w:spacing w:val="3"/>
              </w:rPr>
              <w:t>、审计</w:t>
            </w:r>
            <w:r>
              <w:rPr>
                <w:spacing w:val="-30"/>
              </w:rPr>
              <w:t xml:space="preserve"> </w:t>
            </w:r>
            <w:r>
              <w:rPr>
                <w:spacing w:val="3"/>
              </w:rPr>
              <w:t>、监督检查发现的资产管理问题整</w:t>
            </w:r>
            <w:r>
              <w:t xml:space="preserve"> </w:t>
            </w:r>
            <w:r>
              <w:rPr>
                <w:spacing w:val="-2"/>
              </w:rPr>
              <w:t>改（2分）</w:t>
            </w:r>
          </w:p>
        </w:tc>
      </w:tr>
      <w:tr w14:paraId="71F594C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1" w:hRule="atLeast"/>
        </w:trPr>
        <w:tc>
          <w:tcPr>
            <w:tcW w:w="534" w:type="dxa"/>
            <w:tcBorders>
              <w:left w:val="single" w:color="000000" w:sz="12" w:space="0"/>
            </w:tcBorders>
            <w:vAlign w:val="top"/>
          </w:tcPr>
          <w:p w14:paraId="5C30107C">
            <w:pPr>
              <w:pStyle w:val="4"/>
              <w:spacing w:before="261" w:line="163" w:lineRule="auto"/>
              <w:ind w:left="189"/>
            </w:pPr>
            <w:r>
              <w:rPr>
                <w:spacing w:val="-17"/>
              </w:rPr>
              <w:t>19</w:t>
            </w:r>
          </w:p>
        </w:tc>
        <w:tc>
          <w:tcPr>
            <w:tcW w:w="1060" w:type="dxa"/>
            <w:vMerge w:val="continue"/>
            <w:tcBorders>
              <w:top w:val="nil"/>
              <w:bottom w:val="nil"/>
            </w:tcBorders>
            <w:vAlign w:val="top"/>
          </w:tcPr>
          <w:p w14:paraId="241E08FA">
            <w:pPr>
              <w:rPr>
                <w:rFonts w:ascii="Arial"/>
                <w:sz w:val="21"/>
              </w:rPr>
            </w:pPr>
          </w:p>
        </w:tc>
        <w:tc>
          <w:tcPr>
            <w:tcW w:w="1324" w:type="dxa"/>
            <w:vMerge w:val="continue"/>
            <w:tcBorders>
              <w:top w:val="nil"/>
              <w:bottom w:val="nil"/>
            </w:tcBorders>
            <w:vAlign w:val="top"/>
          </w:tcPr>
          <w:p w14:paraId="6EF7549C">
            <w:pPr>
              <w:rPr>
                <w:rFonts w:ascii="Arial"/>
                <w:sz w:val="21"/>
              </w:rPr>
            </w:pPr>
          </w:p>
        </w:tc>
        <w:tc>
          <w:tcPr>
            <w:tcW w:w="1674" w:type="dxa"/>
            <w:vMerge w:val="continue"/>
            <w:tcBorders>
              <w:top w:val="nil"/>
              <w:bottom w:val="nil"/>
            </w:tcBorders>
            <w:vAlign w:val="top"/>
          </w:tcPr>
          <w:p w14:paraId="5A82D6D8">
            <w:pPr>
              <w:rPr>
                <w:rFonts w:ascii="Arial"/>
                <w:sz w:val="21"/>
              </w:rPr>
            </w:pPr>
          </w:p>
        </w:tc>
        <w:tc>
          <w:tcPr>
            <w:tcW w:w="670" w:type="dxa"/>
            <w:vMerge w:val="continue"/>
            <w:tcBorders>
              <w:top w:val="nil"/>
              <w:bottom w:val="nil"/>
            </w:tcBorders>
            <w:vAlign w:val="top"/>
          </w:tcPr>
          <w:p w14:paraId="34965AF8">
            <w:pPr>
              <w:rPr>
                <w:rFonts w:ascii="Arial"/>
                <w:sz w:val="21"/>
              </w:rPr>
            </w:pPr>
          </w:p>
        </w:tc>
        <w:tc>
          <w:tcPr>
            <w:tcW w:w="4035" w:type="dxa"/>
            <w:tcBorders>
              <w:right w:val="single" w:color="000000" w:sz="12" w:space="0"/>
            </w:tcBorders>
            <w:vAlign w:val="top"/>
          </w:tcPr>
          <w:p w14:paraId="22F0E932">
            <w:pPr>
              <w:pStyle w:val="4"/>
              <w:spacing w:before="234" w:line="184" w:lineRule="auto"/>
              <w:ind w:left="41"/>
            </w:pPr>
            <w:r>
              <w:rPr>
                <w:spacing w:val="6"/>
              </w:rPr>
              <w:t>资产管理责任追究制度得到有效落实(2分)</w:t>
            </w:r>
          </w:p>
        </w:tc>
      </w:tr>
      <w:tr w14:paraId="7FEB34A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534" w:type="dxa"/>
            <w:tcBorders>
              <w:left w:val="single" w:color="000000" w:sz="12" w:space="0"/>
            </w:tcBorders>
            <w:vAlign w:val="top"/>
          </w:tcPr>
          <w:p w14:paraId="598241DF">
            <w:pPr>
              <w:pStyle w:val="4"/>
              <w:spacing w:before="262" w:line="162" w:lineRule="auto"/>
              <w:ind w:left="178"/>
            </w:pPr>
            <w:r>
              <w:rPr>
                <w:spacing w:val="-11"/>
              </w:rPr>
              <w:t>20</w:t>
            </w:r>
          </w:p>
        </w:tc>
        <w:tc>
          <w:tcPr>
            <w:tcW w:w="1060" w:type="dxa"/>
            <w:vMerge w:val="continue"/>
            <w:tcBorders>
              <w:top w:val="nil"/>
            </w:tcBorders>
            <w:vAlign w:val="top"/>
          </w:tcPr>
          <w:p w14:paraId="57200F69">
            <w:pPr>
              <w:rPr>
                <w:rFonts w:ascii="Arial"/>
                <w:sz w:val="21"/>
              </w:rPr>
            </w:pPr>
          </w:p>
        </w:tc>
        <w:tc>
          <w:tcPr>
            <w:tcW w:w="1324" w:type="dxa"/>
            <w:vMerge w:val="continue"/>
            <w:tcBorders>
              <w:top w:val="nil"/>
            </w:tcBorders>
            <w:vAlign w:val="top"/>
          </w:tcPr>
          <w:p w14:paraId="56E667D3">
            <w:pPr>
              <w:rPr>
                <w:rFonts w:ascii="Arial"/>
                <w:sz w:val="21"/>
              </w:rPr>
            </w:pPr>
          </w:p>
        </w:tc>
        <w:tc>
          <w:tcPr>
            <w:tcW w:w="1674" w:type="dxa"/>
            <w:vMerge w:val="continue"/>
            <w:tcBorders>
              <w:top w:val="nil"/>
            </w:tcBorders>
            <w:vAlign w:val="top"/>
          </w:tcPr>
          <w:p w14:paraId="29C8A82D">
            <w:pPr>
              <w:rPr>
                <w:rFonts w:ascii="Arial"/>
                <w:sz w:val="21"/>
              </w:rPr>
            </w:pPr>
          </w:p>
        </w:tc>
        <w:tc>
          <w:tcPr>
            <w:tcW w:w="670" w:type="dxa"/>
            <w:vMerge w:val="continue"/>
            <w:tcBorders>
              <w:top w:val="nil"/>
            </w:tcBorders>
            <w:vAlign w:val="top"/>
          </w:tcPr>
          <w:p w14:paraId="116B19D8">
            <w:pPr>
              <w:rPr>
                <w:rFonts w:ascii="Arial"/>
                <w:sz w:val="21"/>
              </w:rPr>
            </w:pPr>
          </w:p>
        </w:tc>
        <w:tc>
          <w:tcPr>
            <w:tcW w:w="4035" w:type="dxa"/>
            <w:tcBorders>
              <w:right w:val="single" w:color="000000" w:sz="12" w:space="0"/>
            </w:tcBorders>
            <w:vAlign w:val="top"/>
          </w:tcPr>
          <w:p w14:paraId="4E563911">
            <w:pPr>
              <w:pStyle w:val="4"/>
              <w:spacing w:before="234" w:line="184" w:lineRule="auto"/>
              <w:ind w:left="38"/>
            </w:pPr>
            <w:r>
              <w:rPr>
                <w:spacing w:val="7"/>
              </w:rPr>
              <w:t>定期开展校内资产管理绩效评价(2分)</w:t>
            </w:r>
          </w:p>
        </w:tc>
      </w:tr>
    </w:tbl>
    <w:p w14:paraId="0E497553">
      <w:pPr>
        <w:rPr>
          <w:b/>
          <w:bCs/>
          <w:spacing w:val="-2"/>
          <w:sz w:val="31"/>
          <w:szCs w:val="31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Q4ZDhlZmQwYTNlODc4MThkMDk5OTAwZDAxYTA4Y2YifQ=="/>
  </w:docVars>
  <w:rsids>
    <w:rsidRoot w:val="33F37086"/>
    <w:rsid w:val="33F37086"/>
    <w:rsid w:val="4A251A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Table Text"/>
    <w:basedOn w:val="1"/>
    <w:semiHidden/>
    <w:qFormat/>
    <w:uiPriority w:val="0"/>
    <w:rPr>
      <w:rFonts w:ascii="微软雅黑" w:hAnsi="微软雅黑" w:eastAsia="微软雅黑" w:cs="微软雅黑"/>
      <w:sz w:val="17"/>
      <w:szCs w:val="17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655</Words>
  <Characters>687</Characters>
  <Lines>0</Lines>
  <Paragraphs>0</Paragraphs>
  <TotalTime>0</TotalTime>
  <ScaleCrop>false</ScaleCrop>
  <LinksUpToDate>false</LinksUpToDate>
  <CharactersWithSpaces>716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2024-07-13T09:01:00Z</dcterms:created>
  <dc:creator>丁成业</dc:creator>
  <cp:lastModifiedBy>丁成业</cp:lastModifiedBy>
  <dcterms:modified xsi:type="dcterms:W3CDTF">2024-07-15T02:03:52Z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3F44DE22D8124BC688767A4855FA450F_13</vt:lpwstr>
  </property>
</Properties>
</file>