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A1B67E">
      <w:pPr>
        <w:pStyle w:val="6"/>
        <w:shd w:val="clear" w:color="auto" w:fill="FFFFFF"/>
        <w:spacing w:before="0" w:beforeAutospacing="0" w:after="0" w:afterAutospacing="0"/>
        <w:jc w:val="center"/>
        <w:rPr>
          <w:rFonts w:ascii="Times New Roman" w:hAnsi="Times New Roman" w:eastAsia="方正小标宋_GBK" w:cs="Times New Roman"/>
          <w:color w:val="222222"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eastAsia="方正小标宋_GBK" w:cs="Times New Roman"/>
          <w:bCs/>
          <w:color w:val="222222"/>
          <w:sz w:val="36"/>
          <w:szCs w:val="36"/>
          <w:shd w:val="clear" w:color="auto" w:fill="FFFFFF"/>
        </w:rPr>
        <w:t>深化现代职业教育体系建设改革重点任务贯彻落实分解表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095"/>
        <w:gridCol w:w="1843"/>
        <w:gridCol w:w="2126"/>
        <w:gridCol w:w="1439"/>
      </w:tblGrid>
      <w:tr w14:paraId="1FB89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Align w:val="center"/>
          </w:tcPr>
          <w:p w14:paraId="76E2C2E8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eastAsia="黑体" w:cs="Times New Roman"/>
                <w:color w:val="222222"/>
              </w:rPr>
            </w:pPr>
            <w:r>
              <w:rPr>
                <w:rFonts w:ascii="Times New Roman" w:hAnsi="Times New Roman" w:eastAsia="黑体" w:cs="Times New Roman"/>
                <w:color w:val="222222"/>
              </w:rPr>
              <w:t>重点任务</w:t>
            </w:r>
          </w:p>
        </w:tc>
        <w:tc>
          <w:tcPr>
            <w:tcW w:w="6095" w:type="dxa"/>
            <w:vAlign w:val="center"/>
          </w:tcPr>
          <w:p w14:paraId="745C34E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eastAsia="黑体" w:cs="Times New Roman"/>
                <w:color w:val="222222"/>
              </w:rPr>
            </w:pPr>
            <w:r>
              <w:rPr>
                <w:rFonts w:ascii="Times New Roman" w:hAnsi="Times New Roman" w:eastAsia="黑体" w:cs="Times New Roman"/>
                <w:color w:val="222222"/>
              </w:rPr>
              <w:t>任务要点</w:t>
            </w:r>
          </w:p>
        </w:tc>
        <w:tc>
          <w:tcPr>
            <w:tcW w:w="1843" w:type="dxa"/>
            <w:vAlign w:val="center"/>
          </w:tcPr>
          <w:p w14:paraId="1065FD5A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eastAsia="黑体" w:cs="Times New Roman"/>
                <w:color w:val="222222"/>
              </w:rPr>
            </w:pPr>
            <w:r>
              <w:rPr>
                <w:rFonts w:ascii="Times New Roman" w:hAnsi="Times New Roman" w:eastAsia="黑体" w:cs="Times New Roman"/>
                <w:color w:val="222222"/>
              </w:rPr>
              <w:t>负责单位</w:t>
            </w:r>
          </w:p>
        </w:tc>
        <w:tc>
          <w:tcPr>
            <w:tcW w:w="2126" w:type="dxa"/>
            <w:vAlign w:val="center"/>
          </w:tcPr>
          <w:p w14:paraId="33B5162D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eastAsia="黑体" w:cs="Times New Roman"/>
                <w:color w:val="222222"/>
              </w:rPr>
            </w:pPr>
            <w:r>
              <w:rPr>
                <w:rFonts w:ascii="Times New Roman" w:hAnsi="Times New Roman" w:eastAsia="黑体" w:cs="Times New Roman"/>
                <w:color w:val="222222"/>
              </w:rPr>
              <w:t>任务举措</w:t>
            </w:r>
          </w:p>
        </w:tc>
        <w:tc>
          <w:tcPr>
            <w:tcW w:w="1439" w:type="dxa"/>
            <w:vAlign w:val="center"/>
          </w:tcPr>
          <w:p w14:paraId="452083D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eastAsia="黑体" w:cs="Times New Roman"/>
                <w:color w:val="222222"/>
              </w:rPr>
            </w:pPr>
            <w:r>
              <w:rPr>
                <w:rFonts w:ascii="Times New Roman" w:hAnsi="Times New Roman" w:eastAsia="黑体" w:cs="Times New Roman"/>
                <w:color w:val="222222"/>
              </w:rPr>
              <w:t>备注</w:t>
            </w:r>
          </w:p>
          <w:p w14:paraId="0B6E40CC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eastAsia="黑体" w:cs="Times New Roman"/>
                <w:color w:val="222222"/>
              </w:rPr>
            </w:pPr>
            <w:r>
              <w:rPr>
                <w:rFonts w:ascii="Times New Roman" w:hAnsi="Times New Roman" w:eastAsia="黑体" w:cs="Times New Roman"/>
                <w:color w:val="222222"/>
              </w:rPr>
              <w:t>（建设项目级别、存在的困难、资源资金需求）</w:t>
            </w:r>
          </w:p>
        </w:tc>
      </w:tr>
      <w:tr w14:paraId="1C09C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1980" w:type="dxa"/>
            <w:vMerge w:val="restart"/>
            <w:vAlign w:val="center"/>
          </w:tcPr>
          <w:p w14:paraId="06ACE8DD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（一）开展省市联合建设改革新模式试点</w:t>
            </w:r>
          </w:p>
        </w:tc>
        <w:tc>
          <w:tcPr>
            <w:tcW w:w="6095" w:type="dxa"/>
            <w:vAlign w:val="center"/>
          </w:tcPr>
          <w:p w14:paraId="326E1E7C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深化江苏南北结对帮扶合作模式，鼓励开展“跨市域”现代职业教育体系改革试点。</w:t>
            </w:r>
          </w:p>
        </w:tc>
        <w:tc>
          <w:tcPr>
            <w:tcW w:w="1843" w:type="dxa"/>
            <w:vAlign w:val="center"/>
          </w:tcPr>
          <w:p w14:paraId="4594375D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</w:tc>
        <w:tc>
          <w:tcPr>
            <w:tcW w:w="2126" w:type="dxa"/>
          </w:tcPr>
          <w:p w14:paraId="621CCD17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05F4D130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09CE9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3EE979A3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1DEC4606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推动高等职业教育资源与县域产业布局相适应，拓展校企合作形式和内容，培养高素质、复合型、实用型产业人才。</w:t>
            </w:r>
          </w:p>
        </w:tc>
        <w:tc>
          <w:tcPr>
            <w:tcW w:w="1843" w:type="dxa"/>
            <w:vAlign w:val="center"/>
          </w:tcPr>
          <w:p w14:paraId="0C470590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校企合作办</w:t>
            </w:r>
          </w:p>
          <w:p w14:paraId="1BAD0D5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</w:tc>
        <w:tc>
          <w:tcPr>
            <w:tcW w:w="2126" w:type="dxa"/>
          </w:tcPr>
          <w:p w14:paraId="58E502D7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64AADC34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1B5EC0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1980" w:type="dxa"/>
            <w:vMerge w:val="restart"/>
            <w:vAlign w:val="center"/>
          </w:tcPr>
          <w:p w14:paraId="55BE1A28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（二）打造市域产教联合体</w:t>
            </w:r>
          </w:p>
        </w:tc>
        <w:tc>
          <w:tcPr>
            <w:tcW w:w="6095" w:type="dxa"/>
            <w:vAlign w:val="center"/>
          </w:tcPr>
          <w:p w14:paraId="78FE4353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围绕江苏“1+3”功能区、苏锡常都市圈等重点区域，以产业园区为基础，打造一批兼具人才培养、创新创业、促进产业经济高质量发展功能的市域产教联合体，增强区域发展的协同性、联动性、整体性。</w:t>
            </w:r>
          </w:p>
        </w:tc>
        <w:tc>
          <w:tcPr>
            <w:tcW w:w="1843" w:type="dxa"/>
            <w:vAlign w:val="center"/>
          </w:tcPr>
          <w:p w14:paraId="4D69BC57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校企合作办</w:t>
            </w:r>
          </w:p>
          <w:p w14:paraId="6C6B32BD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67867465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2C2C2AB9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356FC17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29E00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6" w:hRule="atLeast"/>
        </w:trPr>
        <w:tc>
          <w:tcPr>
            <w:tcW w:w="1980" w:type="dxa"/>
            <w:vMerge w:val="continue"/>
            <w:vAlign w:val="center"/>
          </w:tcPr>
          <w:p w14:paraId="1D16B9D6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0BE3FFEA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市域产教联合体内各类主体协同配合，联合体内龙头企业深度参与职业学校专业规划、人才培养标准研制、教材课程开发、师资队伍建设等各个环节，提升人才培养质量，达到实体化运行要求。</w:t>
            </w:r>
          </w:p>
        </w:tc>
        <w:tc>
          <w:tcPr>
            <w:tcW w:w="1843" w:type="dxa"/>
            <w:vAlign w:val="center"/>
          </w:tcPr>
          <w:p w14:paraId="44DD7E30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市域产教联合体牵头或参与单位</w:t>
            </w:r>
          </w:p>
        </w:tc>
        <w:tc>
          <w:tcPr>
            <w:tcW w:w="2126" w:type="dxa"/>
          </w:tcPr>
          <w:p w14:paraId="003ECA8A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03ECAE1C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35FEA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" w:hRule="atLeast"/>
        </w:trPr>
        <w:tc>
          <w:tcPr>
            <w:tcW w:w="1980" w:type="dxa"/>
            <w:vMerge w:val="continue"/>
            <w:vAlign w:val="center"/>
          </w:tcPr>
          <w:p w14:paraId="1397A61D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3BCC60A5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发挥省职业教育行业指导委员会作用，建立人才需求调查和发布制度，完善职业教育专业动态调整机制，促进专业布局与当地产业结构紧密对接。</w:t>
            </w:r>
          </w:p>
        </w:tc>
        <w:tc>
          <w:tcPr>
            <w:tcW w:w="1843" w:type="dxa"/>
            <w:vAlign w:val="center"/>
          </w:tcPr>
          <w:p w14:paraId="2AA45B51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省交通行指委秘书处</w:t>
            </w:r>
          </w:p>
        </w:tc>
        <w:tc>
          <w:tcPr>
            <w:tcW w:w="2126" w:type="dxa"/>
          </w:tcPr>
          <w:p w14:paraId="7E500B96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5FD97F8A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48BE2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05B2A6FA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31BC85C9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支持职业学校和产业链企业开展协同创新，建设共性技术服务平台，打通科研开发、技术创新、成果转移链条，为产业园区企业提供技术咨询与服务，促进中小企业技术创新、产品升级。</w:t>
            </w:r>
          </w:p>
        </w:tc>
        <w:tc>
          <w:tcPr>
            <w:tcW w:w="1843" w:type="dxa"/>
            <w:vAlign w:val="center"/>
          </w:tcPr>
          <w:p w14:paraId="28653601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科研处</w:t>
            </w:r>
          </w:p>
          <w:p w14:paraId="4DD590DD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15235996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0830872B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6798A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0" w:type="dxa"/>
            <w:vMerge w:val="restart"/>
            <w:vAlign w:val="center"/>
          </w:tcPr>
          <w:p w14:paraId="430BA378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（三）打造行业产教融合共同体</w:t>
            </w:r>
          </w:p>
        </w:tc>
        <w:tc>
          <w:tcPr>
            <w:tcW w:w="6095" w:type="dxa"/>
            <w:vAlign w:val="center"/>
          </w:tcPr>
          <w:p w14:paraId="308B15CD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围绕江苏战略性新兴产业、先进制造业和现代服务业，由产业链链主企业、高水平高等学校、职业院校联合组建轨道交通装备、高端装备和智能制造、节能环保、核心信息技术等行业产教融合共同体。</w:t>
            </w:r>
          </w:p>
        </w:tc>
        <w:tc>
          <w:tcPr>
            <w:tcW w:w="1843" w:type="dxa"/>
            <w:vAlign w:val="center"/>
          </w:tcPr>
          <w:p w14:paraId="62D01FD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校企合作办</w:t>
            </w:r>
          </w:p>
          <w:p w14:paraId="6561F75B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7A5B5B1C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1DC34772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383E4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664E426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6355E2E6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发挥行业产教融合共同体内行业企业优势，支持骨干院校举办产业学院，立足“地方性”“应用型”办学定位，促进专业链对接产业链，打造一批行业急需、优势突出、特色鲜明的应用型专业。</w:t>
            </w:r>
          </w:p>
        </w:tc>
        <w:tc>
          <w:tcPr>
            <w:tcW w:w="1843" w:type="dxa"/>
            <w:vAlign w:val="center"/>
          </w:tcPr>
          <w:p w14:paraId="70EE72F5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校企合作办</w:t>
            </w:r>
          </w:p>
          <w:p w14:paraId="06BD264E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21733735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5C19C0EC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630B0150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3A68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47A73C1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75B8A3D4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围绕产业链关键技术、核心工艺和共性问题开展协同攻关，加快基础研究成果向产业技术转化，在产业重点领域破解技术改造、工艺改进、产品升级等难题。</w:t>
            </w:r>
          </w:p>
        </w:tc>
        <w:tc>
          <w:tcPr>
            <w:tcW w:w="1843" w:type="dxa"/>
            <w:vAlign w:val="center"/>
          </w:tcPr>
          <w:p w14:paraId="4771F0AE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科研处</w:t>
            </w:r>
          </w:p>
          <w:p w14:paraId="792B1601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04F8198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3CF9135C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21C2D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56482CA0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29E4D4D6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探索建立学校、培训机构与行业企业协同开展终身职业技能培训制度，面向在职职工等开展继续教育和职业技能培训，为行业提供稳定的人力资源。</w:t>
            </w:r>
          </w:p>
        </w:tc>
        <w:tc>
          <w:tcPr>
            <w:tcW w:w="1843" w:type="dxa"/>
            <w:vAlign w:val="center"/>
          </w:tcPr>
          <w:p w14:paraId="4AC5DFFF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继教院</w:t>
            </w:r>
          </w:p>
          <w:p w14:paraId="242F13B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3D13A09B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35052756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53FCA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980" w:type="dxa"/>
            <w:vMerge w:val="restart"/>
            <w:vAlign w:val="center"/>
          </w:tcPr>
          <w:p w14:paraId="4BBBD168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（四）深化职业学校教育教学改革</w:t>
            </w:r>
          </w:p>
        </w:tc>
        <w:tc>
          <w:tcPr>
            <w:tcW w:w="6095" w:type="dxa"/>
            <w:vAlign w:val="center"/>
          </w:tcPr>
          <w:p w14:paraId="7F5D5DAA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建立健全现代职业学校制度，落实公办职业学校党组织领导的校长负责制。</w:t>
            </w:r>
          </w:p>
        </w:tc>
        <w:tc>
          <w:tcPr>
            <w:tcW w:w="1843" w:type="dxa"/>
            <w:vAlign w:val="center"/>
          </w:tcPr>
          <w:p w14:paraId="3BDF4FA0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党院办</w:t>
            </w:r>
          </w:p>
        </w:tc>
        <w:tc>
          <w:tcPr>
            <w:tcW w:w="2126" w:type="dxa"/>
          </w:tcPr>
          <w:p w14:paraId="00FE7330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3C95A58B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6421DD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1F792C5C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06A79227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优化职业教育供给结构，适度超前进行专业布局，加快推进传统专业改造升级。</w:t>
            </w:r>
          </w:p>
        </w:tc>
        <w:tc>
          <w:tcPr>
            <w:tcW w:w="1843" w:type="dxa"/>
            <w:vAlign w:val="center"/>
          </w:tcPr>
          <w:p w14:paraId="659E95A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0FDFAC9E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12EDDC6D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4A2E0FD3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4A6591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0237AAC3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2C9EB55C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在先进制造业、现代服务业等专业领域，组织知名专家、业界精英和优秀教师，打造一批核心课程、优质教材、教师团队、实践项目，及时把新方法、新技术、新工艺、新标准引入教育教学实践。</w:t>
            </w:r>
          </w:p>
        </w:tc>
        <w:tc>
          <w:tcPr>
            <w:tcW w:w="1843" w:type="dxa"/>
            <w:vAlign w:val="center"/>
          </w:tcPr>
          <w:p w14:paraId="5FA05EF1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26673033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5FB0D68A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1E2346F3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5C8C89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3589B2F5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7EA33419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推动将人工智能等新型工具应用于教学和实践。</w:t>
            </w:r>
          </w:p>
        </w:tc>
        <w:tc>
          <w:tcPr>
            <w:tcW w:w="1843" w:type="dxa"/>
            <w:vAlign w:val="center"/>
          </w:tcPr>
          <w:p w14:paraId="56128DC7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20D5FE4F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信息办</w:t>
            </w:r>
          </w:p>
        </w:tc>
        <w:tc>
          <w:tcPr>
            <w:tcW w:w="2126" w:type="dxa"/>
          </w:tcPr>
          <w:p w14:paraId="4C89EF92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62B889D5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2A725D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167FB971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3CF9DE0C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推动职业教育数字化转型升级，实施职业教育数字化战略行动，推广应用国家职业教育智慧教育平台。</w:t>
            </w:r>
          </w:p>
        </w:tc>
        <w:tc>
          <w:tcPr>
            <w:tcW w:w="1843" w:type="dxa"/>
            <w:vAlign w:val="center"/>
          </w:tcPr>
          <w:p w14:paraId="58C83C76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14C46D5C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信息办</w:t>
            </w:r>
          </w:p>
        </w:tc>
        <w:tc>
          <w:tcPr>
            <w:tcW w:w="2126" w:type="dxa"/>
          </w:tcPr>
          <w:p w14:paraId="4EA42AE1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0B0DC605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45A60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008711DF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58C548CA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建设国家级和省级职业教育专业教学资源库，新增一批国家级、省级在线精品课程，扩大优质资源共享。</w:t>
            </w:r>
          </w:p>
        </w:tc>
        <w:tc>
          <w:tcPr>
            <w:tcW w:w="1843" w:type="dxa"/>
            <w:vAlign w:val="center"/>
          </w:tcPr>
          <w:p w14:paraId="238650BE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72D4426A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5404E1F4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5A5D3ACF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46C9B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0DDA133E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0220ED52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服务全民终身学习和技能型社会建设，利用“学分银行”实现学历职业教育与非学历职业技能培训的学分认定、积累和转换。</w:t>
            </w:r>
          </w:p>
        </w:tc>
        <w:tc>
          <w:tcPr>
            <w:tcW w:w="1843" w:type="dxa"/>
            <w:vAlign w:val="center"/>
          </w:tcPr>
          <w:p w14:paraId="443D1451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继教院</w:t>
            </w:r>
          </w:p>
          <w:p w14:paraId="764143BD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</w:tc>
        <w:tc>
          <w:tcPr>
            <w:tcW w:w="2126" w:type="dxa"/>
          </w:tcPr>
          <w:p w14:paraId="40D0921C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1C821E1B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7C83D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4329B86C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3294D78F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建设国家级、省级、校级职业教育虚拟仿真实训基地。</w:t>
            </w:r>
          </w:p>
        </w:tc>
        <w:tc>
          <w:tcPr>
            <w:tcW w:w="1843" w:type="dxa"/>
            <w:vAlign w:val="center"/>
          </w:tcPr>
          <w:p w14:paraId="131E5800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  <w:highlight w:val="yellow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0E22C3A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66B9AF38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39C85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980" w:type="dxa"/>
            <w:vMerge w:val="continue"/>
            <w:vAlign w:val="center"/>
          </w:tcPr>
          <w:p w14:paraId="69A91679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16D01F90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推进职业教育信息化标杆学校建设。</w:t>
            </w:r>
          </w:p>
        </w:tc>
        <w:tc>
          <w:tcPr>
            <w:tcW w:w="1843" w:type="dxa"/>
            <w:vAlign w:val="center"/>
          </w:tcPr>
          <w:p w14:paraId="4957979A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信息办</w:t>
            </w:r>
          </w:p>
        </w:tc>
        <w:tc>
          <w:tcPr>
            <w:tcW w:w="2126" w:type="dxa"/>
          </w:tcPr>
          <w:p w14:paraId="405FC2F1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34C662C8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74449E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0" w:type="dxa"/>
            <w:vMerge w:val="restart"/>
            <w:vAlign w:val="center"/>
          </w:tcPr>
          <w:p w14:paraId="5553BFB6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（五）建设高水平“双师型”教师队伍</w:t>
            </w:r>
          </w:p>
        </w:tc>
        <w:tc>
          <w:tcPr>
            <w:tcW w:w="6095" w:type="dxa"/>
            <w:vAlign w:val="center"/>
          </w:tcPr>
          <w:p w14:paraId="08EE7B04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建立职业学校、行业企业、培训评价组织多元参与的“双师型”教师评价考核体系。</w:t>
            </w:r>
          </w:p>
        </w:tc>
        <w:tc>
          <w:tcPr>
            <w:tcW w:w="1843" w:type="dxa"/>
            <w:vAlign w:val="center"/>
          </w:tcPr>
          <w:p w14:paraId="3FF21062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人事处</w:t>
            </w:r>
          </w:p>
        </w:tc>
        <w:tc>
          <w:tcPr>
            <w:tcW w:w="2126" w:type="dxa"/>
          </w:tcPr>
          <w:p w14:paraId="446B67D4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677AFCE4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15FAB5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078569BE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243651CD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坚持师德师风第一标准，建立教师思想政治素质和职业道德水平评价考核体系。</w:t>
            </w:r>
          </w:p>
        </w:tc>
        <w:tc>
          <w:tcPr>
            <w:tcW w:w="1843" w:type="dxa"/>
            <w:vAlign w:val="center"/>
          </w:tcPr>
          <w:p w14:paraId="52ECECA7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人事处</w:t>
            </w:r>
          </w:p>
        </w:tc>
        <w:tc>
          <w:tcPr>
            <w:tcW w:w="2126" w:type="dxa"/>
          </w:tcPr>
          <w:p w14:paraId="663FB1EF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349A13EA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4714B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4E187421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1B2BFE5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探索建立具有学校特色的“双师型”教师认定工作体系，修订完善“双师型”认定标准，开展“双师型”教师认定工作。</w:t>
            </w:r>
          </w:p>
        </w:tc>
        <w:tc>
          <w:tcPr>
            <w:tcW w:w="1843" w:type="dxa"/>
            <w:vAlign w:val="center"/>
          </w:tcPr>
          <w:p w14:paraId="01CA109A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人事处</w:t>
            </w:r>
          </w:p>
        </w:tc>
        <w:tc>
          <w:tcPr>
            <w:tcW w:w="2126" w:type="dxa"/>
          </w:tcPr>
          <w:p w14:paraId="3FEB9D1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4CF75214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10394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0031D86C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13484E5A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健全开放灵活的“双师型”教师培养体系，积极推进“技术师范教育+岗位实习+企业实践”的一体化培养培训工作。</w:t>
            </w:r>
          </w:p>
        </w:tc>
        <w:tc>
          <w:tcPr>
            <w:tcW w:w="1843" w:type="dxa"/>
            <w:vAlign w:val="center"/>
          </w:tcPr>
          <w:p w14:paraId="57F27F21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人事处</w:t>
            </w:r>
          </w:p>
        </w:tc>
        <w:tc>
          <w:tcPr>
            <w:tcW w:w="2126" w:type="dxa"/>
          </w:tcPr>
          <w:p w14:paraId="0D03F22F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6B6EAEEB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48BC7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01BB255E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03952F77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打造高水平“双师型”教学团队，组建协作共同体，以点带面提升“双师型”教师队伍建设水平。</w:t>
            </w:r>
          </w:p>
        </w:tc>
        <w:tc>
          <w:tcPr>
            <w:tcW w:w="1843" w:type="dxa"/>
            <w:vAlign w:val="center"/>
          </w:tcPr>
          <w:p w14:paraId="0D4A9112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人事处</w:t>
            </w:r>
          </w:p>
          <w:p w14:paraId="00AC29CA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67CBCED3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科研处</w:t>
            </w:r>
          </w:p>
          <w:p w14:paraId="10CA608B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3EE679C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2ADBAE5A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76D37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01155BBA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2B6C99C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深化职业学校人才管理体制机制改革，多措并举集聚优秀人才，加大行业企业高素质经营管理人才、高技能人才引进力度，探索“固定岗+流动岗”的教师资源配置新机制。</w:t>
            </w:r>
          </w:p>
        </w:tc>
        <w:tc>
          <w:tcPr>
            <w:tcW w:w="1843" w:type="dxa"/>
            <w:vAlign w:val="center"/>
          </w:tcPr>
          <w:p w14:paraId="00554643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人事处</w:t>
            </w:r>
          </w:p>
        </w:tc>
        <w:tc>
          <w:tcPr>
            <w:tcW w:w="2126" w:type="dxa"/>
          </w:tcPr>
          <w:p w14:paraId="62752FD3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44B88BA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73251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288E98C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018763B6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充分发挥产业教授、产业导师作用，定期选聘产业教授、产业导师参与职业教育人才培养。</w:t>
            </w:r>
          </w:p>
        </w:tc>
        <w:tc>
          <w:tcPr>
            <w:tcW w:w="1843" w:type="dxa"/>
            <w:vAlign w:val="center"/>
          </w:tcPr>
          <w:p w14:paraId="4208DBB0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人事处</w:t>
            </w:r>
          </w:p>
        </w:tc>
        <w:tc>
          <w:tcPr>
            <w:tcW w:w="2126" w:type="dxa"/>
          </w:tcPr>
          <w:p w14:paraId="68E0CCF9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13245031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7BA645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restart"/>
            <w:vAlign w:val="center"/>
          </w:tcPr>
          <w:p w14:paraId="7038741C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（六）实施产教融合提升行动</w:t>
            </w:r>
          </w:p>
        </w:tc>
        <w:tc>
          <w:tcPr>
            <w:tcW w:w="6095" w:type="dxa"/>
            <w:vAlign w:val="center"/>
          </w:tcPr>
          <w:p w14:paraId="40CB55ED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对标产业发展前沿，建设集实践教学、社会培训、真实生产和技术服务功能为一体的开放型区域产教融合实践中心。</w:t>
            </w:r>
          </w:p>
        </w:tc>
        <w:tc>
          <w:tcPr>
            <w:tcW w:w="1843" w:type="dxa"/>
            <w:vAlign w:val="center"/>
          </w:tcPr>
          <w:p w14:paraId="53AC3366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103CA2C7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科研处</w:t>
            </w:r>
          </w:p>
          <w:p w14:paraId="013D7427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2D9DB710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1684B1D0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7A304A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0" w:type="dxa"/>
            <w:vMerge w:val="continue"/>
            <w:vAlign w:val="center"/>
          </w:tcPr>
          <w:p w14:paraId="34B5D20C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3E47DF44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依托学校高水平专业群优势，吸引大型企业和社会资金参与，建设多主体共建共管共享的现代产业学院和高水平专业化实训基地。</w:t>
            </w:r>
          </w:p>
        </w:tc>
        <w:tc>
          <w:tcPr>
            <w:tcW w:w="1843" w:type="dxa"/>
            <w:vAlign w:val="center"/>
          </w:tcPr>
          <w:p w14:paraId="664D036D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338950A1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校企合作办</w:t>
            </w:r>
          </w:p>
          <w:p w14:paraId="35E6F6C6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7895CBF0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25BDB75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6D6629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restart"/>
            <w:vAlign w:val="center"/>
          </w:tcPr>
          <w:p w14:paraId="299FF5F8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（七）支持技能人才多样化成长成才</w:t>
            </w:r>
          </w:p>
        </w:tc>
        <w:tc>
          <w:tcPr>
            <w:tcW w:w="6095" w:type="dxa"/>
            <w:vAlign w:val="center"/>
          </w:tcPr>
          <w:p w14:paraId="78ABFE56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进一步增强优质高等职业教育资源示范辐射作用，推动更多学校纳入中国特色高水平高职学校和专业建设计划，引领带动全省高等职业院校办学水平整体提升。</w:t>
            </w:r>
          </w:p>
        </w:tc>
        <w:tc>
          <w:tcPr>
            <w:tcW w:w="1843" w:type="dxa"/>
            <w:vAlign w:val="center"/>
          </w:tcPr>
          <w:p w14:paraId="794921E0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高水平建设办</w:t>
            </w:r>
          </w:p>
        </w:tc>
        <w:tc>
          <w:tcPr>
            <w:tcW w:w="2126" w:type="dxa"/>
          </w:tcPr>
          <w:p w14:paraId="05A5794D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382B3A3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738BE5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</w:trPr>
        <w:tc>
          <w:tcPr>
            <w:tcW w:w="1980" w:type="dxa"/>
            <w:vMerge w:val="continue"/>
            <w:vAlign w:val="center"/>
          </w:tcPr>
          <w:p w14:paraId="036614CD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7E38A501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支持以高水平高职院校为基础，设置本科层次职业学校。</w:t>
            </w:r>
          </w:p>
        </w:tc>
        <w:tc>
          <w:tcPr>
            <w:tcW w:w="1843" w:type="dxa"/>
            <w:vAlign w:val="center"/>
          </w:tcPr>
          <w:p w14:paraId="5E1F21D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发规处</w:t>
            </w:r>
          </w:p>
        </w:tc>
        <w:tc>
          <w:tcPr>
            <w:tcW w:w="2126" w:type="dxa"/>
          </w:tcPr>
          <w:p w14:paraId="6B61B5A1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1E81C5BF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7987F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58EAE45F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4647E45B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统筹推进高职院校高水平专业群、骨干专业开展本科层次职业教育专业试点，打造本科职业教育专业建设江苏样板。</w:t>
            </w:r>
          </w:p>
        </w:tc>
        <w:tc>
          <w:tcPr>
            <w:tcW w:w="1843" w:type="dxa"/>
            <w:vAlign w:val="center"/>
          </w:tcPr>
          <w:p w14:paraId="4F105AB6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4174E849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发规处</w:t>
            </w:r>
          </w:p>
          <w:p w14:paraId="3D000F23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46518AA8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414119CF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0A62E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980" w:type="dxa"/>
            <w:vMerge w:val="continue"/>
            <w:vAlign w:val="center"/>
          </w:tcPr>
          <w:p w14:paraId="714222F0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11434734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进一步落实“职教高考”制度，扩大“职教高考”招生规模。</w:t>
            </w:r>
          </w:p>
        </w:tc>
        <w:tc>
          <w:tcPr>
            <w:tcW w:w="1843" w:type="dxa"/>
            <w:vAlign w:val="center"/>
          </w:tcPr>
          <w:p w14:paraId="5D0F4CA9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招就处</w:t>
            </w:r>
          </w:p>
        </w:tc>
        <w:tc>
          <w:tcPr>
            <w:tcW w:w="2126" w:type="dxa"/>
          </w:tcPr>
          <w:p w14:paraId="2EFCE722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373BC0D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0C7C3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0EB90AAE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6BDB68E9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支持技工学校教育改革发展，推进高职院校和技师学院之间开展合作办学、学分互认工作。</w:t>
            </w:r>
          </w:p>
        </w:tc>
        <w:tc>
          <w:tcPr>
            <w:tcW w:w="1843" w:type="dxa"/>
            <w:vAlign w:val="center"/>
          </w:tcPr>
          <w:p w14:paraId="5B549938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5786ECCF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6E379784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65BC8662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63F61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0" w:type="dxa"/>
            <w:vMerge w:val="continue"/>
            <w:vAlign w:val="center"/>
          </w:tcPr>
          <w:p w14:paraId="14A13924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0819C76A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规范增强“专转本”培训项目，拓展现代职教体系贯通培养项目，提升项目办学质量。</w:t>
            </w:r>
          </w:p>
        </w:tc>
        <w:tc>
          <w:tcPr>
            <w:tcW w:w="1843" w:type="dxa"/>
            <w:vAlign w:val="center"/>
          </w:tcPr>
          <w:p w14:paraId="6003DCDC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0F3CDC56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2CDD7EC0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4854455F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5FD912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737BEE72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7477785B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实施职业教育现场工程师专项培养计划项目，培养一大批高质量技术技能人才。</w:t>
            </w:r>
          </w:p>
        </w:tc>
        <w:tc>
          <w:tcPr>
            <w:tcW w:w="1843" w:type="dxa"/>
            <w:vAlign w:val="center"/>
          </w:tcPr>
          <w:p w14:paraId="26513F75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  <w:p w14:paraId="15FC43D9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09C3953B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2F40B128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7B1477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restart"/>
            <w:vAlign w:val="center"/>
          </w:tcPr>
          <w:p w14:paraId="259E802A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（八）促进职业教育交流合作</w:t>
            </w:r>
          </w:p>
        </w:tc>
        <w:tc>
          <w:tcPr>
            <w:tcW w:w="6095" w:type="dxa"/>
            <w:vAlign w:val="center"/>
          </w:tcPr>
          <w:p w14:paraId="4CA78D58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深化职业教育区域协同发展，加强长三角生态绿色一体化发展示范区职业教育一体化平台建设，推进南北结对帮扶合作。</w:t>
            </w:r>
          </w:p>
        </w:tc>
        <w:tc>
          <w:tcPr>
            <w:tcW w:w="1843" w:type="dxa"/>
            <w:vAlign w:val="center"/>
          </w:tcPr>
          <w:p w14:paraId="52E64AC0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教务处</w:t>
            </w:r>
          </w:p>
        </w:tc>
        <w:tc>
          <w:tcPr>
            <w:tcW w:w="2126" w:type="dxa"/>
          </w:tcPr>
          <w:p w14:paraId="67CE8329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788AACCF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0C39C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5B2B4FF5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27A7468B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实施留学江苏行动计划，加强“中文+职业技能”教学，提升高职院校学生培养质量，形成一批“一带一路”共建国家认可的江苏职业教育专业教学标准、核心课程标准和职业教育资源与装备。</w:t>
            </w:r>
          </w:p>
        </w:tc>
        <w:tc>
          <w:tcPr>
            <w:tcW w:w="1843" w:type="dxa"/>
            <w:vAlign w:val="center"/>
          </w:tcPr>
          <w:p w14:paraId="574A027C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国合办</w:t>
            </w:r>
          </w:p>
          <w:p w14:paraId="4D4E2D88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二级教学单位</w:t>
            </w:r>
          </w:p>
        </w:tc>
        <w:tc>
          <w:tcPr>
            <w:tcW w:w="2126" w:type="dxa"/>
          </w:tcPr>
          <w:p w14:paraId="4B35961E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61CCE353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7BCB9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206B2DE7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4ACCB75B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创新人才培养模式，推动形成跨专业（学科）、跨学校、跨领域、跨国界的多元协同产教融合人才培养模式。</w:t>
            </w:r>
          </w:p>
        </w:tc>
        <w:tc>
          <w:tcPr>
            <w:tcW w:w="1843" w:type="dxa"/>
            <w:vAlign w:val="center"/>
          </w:tcPr>
          <w:p w14:paraId="2AA2FFFE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国合办</w:t>
            </w:r>
          </w:p>
        </w:tc>
        <w:tc>
          <w:tcPr>
            <w:tcW w:w="2126" w:type="dxa"/>
          </w:tcPr>
          <w:p w14:paraId="4A437642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191CAAA7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  <w:tr w14:paraId="102BD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80" w:type="dxa"/>
            <w:vMerge w:val="continue"/>
            <w:vAlign w:val="center"/>
          </w:tcPr>
          <w:p w14:paraId="4CB91753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6095" w:type="dxa"/>
            <w:vAlign w:val="center"/>
          </w:tcPr>
          <w:p w14:paraId="73C096E7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/>
                <w:color w:val="222222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22222"/>
                <w:shd w:val="clear" w:color="auto" w:fill="FFFFFF"/>
              </w:rPr>
              <w:t>实施“郑和计划”，建设一批境外办学平台，构建学校、企业、社会组织等多元主体协同举办和经营的管理运行模式，重点服务共建“一带一路”的境外产业园区和“走出去”企业，培养熟悉中国技术、产品、标准和品牌的本土化技术技能人才，服务江苏产品走向国际市场。</w:t>
            </w:r>
          </w:p>
        </w:tc>
        <w:tc>
          <w:tcPr>
            <w:tcW w:w="1843" w:type="dxa"/>
            <w:vAlign w:val="center"/>
          </w:tcPr>
          <w:p w14:paraId="3E6A0E42">
            <w:pPr>
              <w:pStyle w:val="6"/>
              <w:spacing w:before="0" w:beforeAutospacing="0" w:after="0" w:afterAutospacing="0"/>
              <w:jc w:val="center"/>
              <w:rPr>
                <w:rFonts w:ascii="Times New Roman" w:hAnsi="Times New Roman" w:cs="Times New Roman" w:eastAsiaTheme="minorEastAsia"/>
                <w:color w:val="222222"/>
              </w:rPr>
            </w:pPr>
            <w:r>
              <w:rPr>
                <w:rFonts w:ascii="Times New Roman" w:hAnsi="Times New Roman" w:cs="Times New Roman" w:eastAsiaTheme="minorEastAsia"/>
                <w:color w:val="222222"/>
              </w:rPr>
              <w:t>国合办</w:t>
            </w:r>
          </w:p>
        </w:tc>
        <w:tc>
          <w:tcPr>
            <w:tcW w:w="2126" w:type="dxa"/>
          </w:tcPr>
          <w:p w14:paraId="05B1DB03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  <w:tc>
          <w:tcPr>
            <w:tcW w:w="1439" w:type="dxa"/>
          </w:tcPr>
          <w:p w14:paraId="132BBE2F">
            <w:pPr>
              <w:pStyle w:val="6"/>
              <w:spacing w:before="0" w:beforeAutospacing="0" w:after="0" w:afterAutospacing="0"/>
              <w:jc w:val="both"/>
              <w:rPr>
                <w:rFonts w:ascii="Times New Roman" w:hAnsi="Times New Roman" w:cs="Times New Roman" w:eastAsiaTheme="minorEastAsia"/>
                <w:color w:val="222222"/>
              </w:rPr>
            </w:pPr>
          </w:p>
        </w:tc>
      </w:tr>
    </w:tbl>
    <w:p w14:paraId="7E02BA25">
      <w:pPr>
        <w:pStyle w:val="6"/>
        <w:shd w:val="clear" w:color="auto" w:fill="FFFFFF"/>
        <w:spacing w:before="0" w:beforeAutospacing="0" w:after="0" w:afterAutospacing="0"/>
        <w:jc w:val="both"/>
        <w:rPr>
          <w:rFonts w:ascii="Times New Roman" w:hAnsi="Times New Roman" w:eastAsia="仿宋_GB2312" w:cs="Times New Roman"/>
          <w:color w:val="222222"/>
          <w:sz w:val="32"/>
          <w:szCs w:val="32"/>
        </w:rPr>
      </w:pPr>
    </w:p>
    <w:sectPr>
      <w:pgSz w:w="16838" w:h="11906" w:orient="landscape"/>
      <w:pgMar w:top="1531" w:right="1531" w:bottom="1531" w:left="1814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WRkY2ZkYzFkYTU3Mjc3ZDg4MDJhMDRiMDBkMmVkODMifQ=="/>
  </w:docVars>
  <w:rsids>
    <w:rsidRoot w:val="002C1C00"/>
    <w:rsid w:val="000631F1"/>
    <w:rsid w:val="0009143B"/>
    <w:rsid w:val="000C43CE"/>
    <w:rsid w:val="000C4C97"/>
    <w:rsid w:val="00272395"/>
    <w:rsid w:val="00286847"/>
    <w:rsid w:val="002C1C00"/>
    <w:rsid w:val="002F5569"/>
    <w:rsid w:val="00405B2C"/>
    <w:rsid w:val="004626FF"/>
    <w:rsid w:val="004B468F"/>
    <w:rsid w:val="00513D72"/>
    <w:rsid w:val="00630846"/>
    <w:rsid w:val="006A4557"/>
    <w:rsid w:val="00711010"/>
    <w:rsid w:val="00752220"/>
    <w:rsid w:val="00807255"/>
    <w:rsid w:val="00857307"/>
    <w:rsid w:val="0087690F"/>
    <w:rsid w:val="008B75AE"/>
    <w:rsid w:val="009C3A9A"/>
    <w:rsid w:val="00B2480C"/>
    <w:rsid w:val="00BA32F0"/>
    <w:rsid w:val="00C87FAA"/>
    <w:rsid w:val="00CF5A9C"/>
    <w:rsid w:val="00CF748B"/>
    <w:rsid w:val="00E37209"/>
    <w:rsid w:val="00EB74A3"/>
    <w:rsid w:val="00F466E1"/>
    <w:rsid w:val="00F71795"/>
    <w:rsid w:val="08935065"/>
    <w:rsid w:val="188D1AD1"/>
    <w:rsid w:val="1E480248"/>
    <w:rsid w:val="22590C76"/>
    <w:rsid w:val="23F737CB"/>
    <w:rsid w:val="2C9C1E8B"/>
    <w:rsid w:val="2DFC2A94"/>
    <w:rsid w:val="2F886189"/>
    <w:rsid w:val="305E64AE"/>
    <w:rsid w:val="34746B99"/>
    <w:rsid w:val="35906305"/>
    <w:rsid w:val="377D43B9"/>
    <w:rsid w:val="390D7EB1"/>
    <w:rsid w:val="41440C83"/>
    <w:rsid w:val="4D0214AA"/>
    <w:rsid w:val="4DDA5A8D"/>
    <w:rsid w:val="50BE7D72"/>
    <w:rsid w:val="536C3336"/>
    <w:rsid w:val="56145E4D"/>
    <w:rsid w:val="5620779E"/>
    <w:rsid w:val="5C60083A"/>
    <w:rsid w:val="5F53416D"/>
    <w:rsid w:val="5FCD3B2E"/>
    <w:rsid w:val="64137F7D"/>
    <w:rsid w:val="6B8F438D"/>
    <w:rsid w:val="74AE1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semiHidden/>
    <w:unhideWhenUsed/>
    <w:qFormat/>
    <w:uiPriority w:val="99"/>
    <w:pPr>
      <w:ind w:left="100" w:leftChars="2500"/>
    </w:p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2">
    <w:name w:val="日期 字符"/>
    <w:basedOn w:val="9"/>
    <w:link w:val="3"/>
    <w:semiHidden/>
    <w:qFormat/>
    <w:uiPriority w:val="99"/>
  </w:style>
  <w:style w:type="character" w:customStyle="1" w:styleId="13">
    <w:name w:val="页眉 字符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字符"/>
    <w:basedOn w:val="9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3393</Words>
  <Characters>3446</Characters>
  <Lines>26</Lines>
  <Paragraphs>7</Paragraphs>
  <TotalTime>75</TotalTime>
  <ScaleCrop>false</ScaleCrop>
  <LinksUpToDate>false</LinksUpToDate>
  <CharactersWithSpaces>3446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2024-05-27T00:52:00Z</dcterms:created>
  <dc:creator>%E4%BB%B2%E5%B0%9A%E4%BC%9F</dc:creator>
  <cp:lastModifiedBy>dell</cp:lastModifiedBy>
  <dcterms:modified xsi:type="dcterms:W3CDTF">2024-06-12T02:37:05Z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F696167F0C48451DAF5BC29C95E6B2F8_13</vt:lpwstr>
  </property>
</Properties>
</file>